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ED717" w14:textId="49023B9E" w:rsidR="00933548" w:rsidRPr="009D30DB" w:rsidRDefault="00933548" w:rsidP="00C3241F">
      <w:pPr>
        <w:jc w:val="center"/>
        <w:rPr>
          <w:b/>
          <w:bCs/>
        </w:rPr>
      </w:pPr>
      <w:bookmarkStart w:id="0" w:name="_Hlk162441287"/>
      <w:r w:rsidRPr="009D30DB">
        <w:rPr>
          <w:b/>
          <w:bCs/>
        </w:rPr>
        <w:t>UWAGI ZGŁOSZONE W RAMACH KONSULTACJI PUBLICZNYCH</w:t>
      </w:r>
    </w:p>
    <w:p w14:paraId="5359F0D8" w14:textId="54BFF8CD" w:rsidR="001877CC" w:rsidRPr="009D30DB" w:rsidRDefault="00933548" w:rsidP="009D30DB">
      <w:pPr>
        <w:jc w:val="center"/>
        <w:rPr>
          <w:b/>
          <w:bCs/>
        </w:rPr>
      </w:pPr>
      <w:r w:rsidRPr="009D30DB">
        <w:rPr>
          <w:b/>
          <w:bCs/>
        </w:rPr>
        <w:t>DO PROJEKTU USTAWY O ZMIANIE USTAWY O KRAJOWYM REJESTRZE KARNYM ORAZ NIEKTÓRYCH INNYCH USTAW</w:t>
      </w:r>
      <w:r w:rsidR="009D30DB">
        <w:rPr>
          <w:b/>
          <w:bCs/>
        </w:rPr>
        <w:t xml:space="preserve"> </w:t>
      </w:r>
      <w:r w:rsidR="000F47D2" w:rsidRPr="009D30DB">
        <w:rPr>
          <w:b/>
          <w:bCs/>
        </w:rPr>
        <w:t>(</w:t>
      </w:r>
      <w:r w:rsidR="009E5B1A" w:rsidRPr="009D30DB">
        <w:rPr>
          <w:b/>
          <w:bCs/>
        </w:rPr>
        <w:t>UC57</w:t>
      </w:r>
      <w:r w:rsidR="000F47D2" w:rsidRPr="009D30DB">
        <w:rPr>
          <w:b/>
          <w:bCs/>
        </w:rPr>
        <w:t>)</w:t>
      </w:r>
      <w:bookmarkEnd w:id="0"/>
    </w:p>
    <w:p w14:paraId="006F1682" w14:textId="77777777" w:rsidR="006A23F9" w:rsidRPr="009D30DB" w:rsidRDefault="006A23F9" w:rsidP="00C3241F">
      <w:pPr>
        <w:jc w:val="center"/>
        <w:rPr>
          <w:rFonts w:eastAsia="Calibri"/>
          <w:b/>
          <w:bCs/>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1946"/>
        <w:gridCol w:w="4465"/>
        <w:gridCol w:w="3116"/>
        <w:gridCol w:w="3932"/>
      </w:tblGrid>
      <w:tr w:rsidR="00CC1A15" w:rsidRPr="009D30DB" w14:paraId="54CB74EA" w14:textId="77777777" w:rsidTr="00D440FF">
        <w:tc>
          <w:tcPr>
            <w:tcW w:w="531" w:type="dxa"/>
            <w:shd w:val="clear" w:color="auto" w:fill="B4C6E7" w:themeFill="accent1" w:themeFillTint="66"/>
          </w:tcPr>
          <w:p w14:paraId="73F64BBF" w14:textId="77777777" w:rsidR="00CC1A15" w:rsidRPr="009D30DB" w:rsidRDefault="00CC1A15" w:rsidP="00CC1A15">
            <w:pPr>
              <w:jc w:val="center"/>
              <w:rPr>
                <w:b/>
                <w:bCs/>
              </w:rPr>
            </w:pPr>
            <w:r w:rsidRPr="009D30DB">
              <w:rPr>
                <w:b/>
                <w:bCs/>
              </w:rPr>
              <w:t>Lp.</w:t>
            </w:r>
          </w:p>
        </w:tc>
        <w:tc>
          <w:tcPr>
            <w:tcW w:w="2037" w:type="dxa"/>
            <w:shd w:val="clear" w:color="auto" w:fill="B4C6E7" w:themeFill="accent1" w:themeFillTint="66"/>
          </w:tcPr>
          <w:p w14:paraId="52842D93" w14:textId="706202EB" w:rsidR="00CC1A15" w:rsidRPr="009D30DB" w:rsidRDefault="00CC1A15" w:rsidP="00CC1A15">
            <w:pPr>
              <w:jc w:val="center"/>
              <w:rPr>
                <w:b/>
                <w:bCs/>
              </w:rPr>
            </w:pPr>
            <w:r w:rsidRPr="009D30DB">
              <w:rPr>
                <w:b/>
                <w:bCs/>
              </w:rPr>
              <w:t>Przepis</w:t>
            </w:r>
          </w:p>
        </w:tc>
        <w:tc>
          <w:tcPr>
            <w:tcW w:w="4657" w:type="dxa"/>
            <w:shd w:val="clear" w:color="auto" w:fill="B4C6E7" w:themeFill="accent1" w:themeFillTint="66"/>
          </w:tcPr>
          <w:p w14:paraId="798E675C" w14:textId="7B16ED4D" w:rsidR="00CC1A15" w:rsidRPr="009D30DB" w:rsidRDefault="00CC1A15" w:rsidP="00CC1A15">
            <w:pPr>
              <w:jc w:val="center"/>
              <w:rPr>
                <w:b/>
                <w:bCs/>
              </w:rPr>
            </w:pPr>
            <w:r w:rsidRPr="009D30DB">
              <w:rPr>
                <w:b/>
                <w:bCs/>
              </w:rPr>
              <w:t>Treść uwagi</w:t>
            </w:r>
          </w:p>
        </w:tc>
        <w:tc>
          <w:tcPr>
            <w:tcW w:w="2693" w:type="dxa"/>
            <w:shd w:val="clear" w:color="auto" w:fill="B4C6E7" w:themeFill="accent1" w:themeFillTint="66"/>
          </w:tcPr>
          <w:p w14:paraId="7EB3D785" w14:textId="280B6249" w:rsidR="00CC1A15" w:rsidRPr="009D30DB" w:rsidRDefault="00CC1A15" w:rsidP="00CC1A15">
            <w:pPr>
              <w:jc w:val="center"/>
              <w:rPr>
                <w:b/>
                <w:bCs/>
              </w:rPr>
            </w:pPr>
            <w:r w:rsidRPr="009D30DB">
              <w:rPr>
                <w:b/>
                <w:bCs/>
              </w:rPr>
              <w:t>Podmiot zgłaszający uwagę</w:t>
            </w:r>
          </w:p>
        </w:tc>
        <w:tc>
          <w:tcPr>
            <w:tcW w:w="4111" w:type="dxa"/>
            <w:shd w:val="clear" w:color="auto" w:fill="B4C6E7" w:themeFill="accent1" w:themeFillTint="66"/>
          </w:tcPr>
          <w:p w14:paraId="5A504748" w14:textId="4E57BAC7" w:rsidR="00CC1A15" w:rsidRPr="009D30DB" w:rsidRDefault="00CC1A15" w:rsidP="00CC1A15">
            <w:pPr>
              <w:jc w:val="center"/>
              <w:rPr>
                <w:b/>
                <w:bCs/>
              </w:rPr>
            </w:pPr>
            <w:r w:rsidRPr="009D30DB">
              <w:rPr>
                <w:b/>
                <w:bCs/>
              </w:rPr>
              <w:t>Stanowisko MS</w:t>
            </w:r>
          </w:p>
        </w:tc>
      </w:tr>
      <w:tr w:rsidR="00CC1A15" w:rsidRPr="009D30DB" w14:paraId="119CF6CA" w14:textId="77777777" w:rsidTr="00D440FF">
        <w:trPr>
          <w:trHeight w:val="699"/>
        </w:trPr>
        <w:tc>
          <w:tcPr>
            <w:tcW w:w="531" w:type="dxa"/>
            <w:shd w:val="clear" w:color="auto" w:fill="auto"/>
          </w:tcPr>
          <w:p w14:paraId="6616EBF7" w14:textId="47181FCD" w:rsidR="00CC1A15" w:rsidRPr="009D30DB" w:rsidRDefault="00332CD1" w:rsidP="00CC1A15">
            <w:pPr>
              <w:jc w:val="both"/>
            </w:pPr>
            <w:r w:rsidRPr="009D30DB">
              <w:t>1</w:t>
            </w:r>
            <w:r w:rsidR="00CC1A15" w:rsidRPr="009D30DB">
              <w:t>.</w:t>
            </w:r>
          </w:p>
        </w:tc>
        <w:tc>
          <w:tcPr>
            <w:tcW w:w="2037" w:type="dxa"/>
            <w:shd w:val="clear" w:color="auto" w:fill="auto"/>
          </w:tcPr>
          <w:p w14:paraId="5E312933" w14:textId="2E5EF1A4" w:rsidR="00CC1A15" w:rsidRPr="009D30DB" w:rsidRDefault="00CC1A15" w:rsidP="00CC1A15">
            <w:pPr>
              <w:jc w:val="both"/>
            </w:pPr>
            <w:r w:rsidRPr="009D30DB">
              <w:t>art. 3</w:t>
            </w:r>
          </w:p>
          <w:p w14:paraId="4E8DDC0D" w14:textId="77777777" w:rsidR="00CC1A15" w:rsidRPr="009D30DB" w:rsidRDefault="00CC1A15" w:rsidP="00CC1A15">
            <w:pPr>
              <w:jc w:val="both"/>
            </w:pPr>
          </w:p>
        </w:tc>
        <w:tc>
          <w:tcPr>
            <w:tcW w:w="4657" w:type="dxa"/>
            <w:shd w:val="clear" w:color="auto" w:fill="auto"/>
          </w:tcPr>
          <w:p w14:paraId="333FC035" w14:textId="1028E120" w:rsidR="00CC1A15" w:rsidRPr="009D30DB" w:rsidRDefault="00CC1A15" w:rsidP="00CC1A15">
            <w:pPr>
              <w:pStyle w:val="Style7"/>
              <w:widowControl/>
              <w:spacing w:line="240" w:lineRule="auto"/>
              <w:ind w:firstLine="0"/>
              <w:rPr>
                <w:rStyle w:val="FontStyle14"/>
                <w:rFonts w:ascii="Times New Roman" w:hAnsi="Times New Roman" w:cs="Times New Roman"/>
              </w:rPr>
            </w:pPr>
            <w:r w:rsidRPr="009D30DB">
              <w:t>Art. 3 projektu Ustawy o zmianie ustawy o Krajowym Rejestrze Karnym oraz niektórych innych ustaw (UC57) budzi wątpliwości, gdyż projektowane zmiany po stronie jednostek organizacyjnych prokuratury narzucają obowiązek dołączenia do aktu oskarżenia albo wniosku o warunkowe umorzenie postępowania, numeru rejestracyjnego zbioru automatycznie przetwarzającego dane daktyloskopijne, w przypadku oskarżonego będącego obywatelem państwa trzeciego lub informację o niemożności jego ustalenia oraz ID AFIS, w przypadku oskarżonego będącego obywatelem państwa członkowskiego Unii Europejskiej. Z uzasadnienia projektu wynika, iż zakłada się, że brak ID AFIS w akcie oskarżenia będzie stanowił uchybienie formalne dające podstawę zwrotu aktu oskarżenia do uzupełnienia. Takie rozwiązanie powinno zagwarantować, że sąd będzie dysponował numerem ID AFIS, aby go następnie zamieścić w karcie rejestracyjnej.</w:t>
            </w:r>
          </w:p>
        </w:tc>
        <w:tc>
          <w:tcPr>
            <w:tcW w:w="2693" w:type="dxa"/>
          </w:tcPr>
          <w:p w14:paraId="0A0ADE1C" w14:textId="5F753CF2" w:rsidR="00CC1A15" w:rsidRPr="009D30DB" w:rsidRDefault="004E1637" w:rsidP="00CC1A15">
            <w:pPr>
              <w:autoSpaceDE w:val="0"/>
              <w:autoSpaceDN w:val="0"/>
              <w:adjustRightInd w:val="0"/>
              <w:jc w:val="both"/>
              <w:rPr>
                <w:rFonts w:eastAsiaTheme="minorHAnsi"/>
                <w:b/>
                <w:bCs/>
                <w:lang w:eastAsia="en-US"/>
              </w:rPr>
            </w:pPr>
            <w:r w:rsidRPr="009D30DB">
              <w:rPr>
                <w:b/>
                <w:bCs/>
              </w:rPr>
              <w:t>Niezależne Stowarzyszenie Prokuratorów „Ad</w:t>
            </w:r>
            <w:r w:rsidR="007D79A5">
              <w:rPr>
                <w:b/>
                <w:bCs/>
              </w:rPr>
              <w:t> </w:t>
            </w:r>
            <w:r w:rsidRPr="009D30DB">
              <w:rPr>
                <w:b/>
                <w:bCs/>
              </w:rPr>
              <w:t>Vocem” </w:t>
            </w:r>
          </w:p>
        </w:tc>
        <w:tc>
          <w:tcPr>
            <w:tcW w:w="4111" w:type="dxa"/>
            <w:shd w:val="clear" w:color="auto" w:fill="auto"/>
          </w:tcPr>
          <w:p w14:paraId="7795B368" w14:textId="3E6B8504" w:rsidR="00CC1A15" w:rsidRPr="009D30DB" w:rsidRDefault="00CC1A15" w:rsidP="00CC1A15">
            <w:pPr>
              <w:autoSpaceDE w:val="0"/>
              <w:autoSpaceDN w:val="0"/>
              <w:adjustRightInd w:val="0"/>
              <w:jc w:val="both"/>
              <w:rPr>
                <w:rFonts w:eastAsiaTheme="minorHAnsi"/>
                <w:b/>
                <w:bCs/>
                <w:lang w:eastAsia="en-US"/>
              </w:rPr>
            </w:pPr>
            <w:r w:rsidRPr="009D30DB">
              <w:rPr>
                <w:rFonts w:eastAsiaTheme="minorHAnsi"/>
                <w:b/>
                <w:bCs/>
                <w:lang w:eastAsia="en-US"/>
              </w:rPr>
              <w:t>Uzasadnienie projektu zostało uzupełnione.</w:t>
            </w:r>
          </w:p>
          <w:p w14:paraId="6A6EA025" w14:textId="77777777" w:rsidR="00CC1A15" w:rsidRPr="009D30DB" w:rsidRDefault="00CC1A15" w:rsidP="00CC1A15">
            <w:pPr>
              <w:autoSpaceDE w:val="0"/>
              <w:autoSpaceDN w:val="0"/>
              <w:adjustRightInd w:val="0"/>
              <w:jc w:val="both"/>
              <w:rPr>
                <w:rFonts w:eastAsiaTheme="minorHAnsi"/>
                <w:lang w:eastAsia="en-US"/>
              </w:rPr>
            </w:pPr>
          </w:p>
          <w:p w14:paraId="4F596C4E" w14:textId="48F3E486" w:rsidR="00CC1A15" w:rsidRPr="009D30DB" w:rsidRDefault="00CC1A15" w:rsidP="00CC1A15">
            <w:pPr>
              <w:autoSpaceDE w:val="0"/>
              <w:autoSpaceDN w:val="0"/>
              <w:adjustRightInd w:val="0"/>
              <w:jc w:val="both"/>
              <w:rPr>
                <w:rFonts w:eastAsiaTheme="minorHAnsi"/>
                <w:lang w:eastAsia="en-US"/>
              </w:rPr>
            </w:pPr>
            <w:r w:rsidRPr="009D30DB">
              <w:rPr>
                <w:rFonts w:eastAsiaTheme="minorHAnsi"/>
                <w:lang w:eastAsia="en-US"/>
              </w:rPr>
              <w:t>Ministerstwo Sprawiedliwości wyjaśnia, że zgodnie z projektowanymi przepisami akt oskarżenia powinien zawierać ID AFIS albo informację o niemożności ustalenia ID AFIS. Akt oskarżenia będzie zatem zwracany, jeśli nie będzie w nim ani ID AFIS ani informacji o niemożności jego</w:t>
            </w:r>
          </w:p>
          <w:p w14:paraId="2FBD70CB" w14:textId="29C8EB09" w:rsidR="00CC1A15" w:rsidRPr="009D30DB" w:rsidRDefault="00CC1A15" w:rsidP="00CC1A15">
            <w:pPr>
              <w:autoSpaceDE w:val="0"/>
              <w:autoSpaceDN w:val="0"/>
              <w:adjustRightInd w:val="0"/>
              <w:jc w:val="both"/>
              <w:rPr>
                <w:rFonts w:eastAsiaTheme="minorHAnsi"/>
                <w:lang w:eastAsia="en-US"/>
              </w:rPr>
            </w:pPr>
            <w:r w:rsidRPr="009D30DB">
              <w:rPr>
                <w:rFonts w:eastAsiaTheme="minorHAnsi"/>
                <w:lang w:eastAsia="en-US"/>
              </w:rPr>
              <w:t>ustalenia. W przypadku trudności z ustaleniem czy pozyskaniem ID AFIS wystarczające będzie zatem umieszczenie takiej informacji w akcie oskarżenia, by nie został on zwrócony.</w:t>
            </w:r>
          </w:p>
        </w:tc>
      </w:tr>
      <w:tr w:rsidR="00CC1A15" w:rsidRPr="009D30DB" w14:paraId="3BEDC63D" w14:textId="77777777" w:rsidTr="00D440FF">
        <w:trPr>
          <w:trHeight w:val="1544"/>
        </w:trPr>
        <w:tc>
          <w:tcPr>
            <w:tcW w:w="531" w:type="dxa"/>
            <w:shd w:val="clear" w:color="auto" w:fill="auto"/>
          </w:tcPr>
          <w:p w14:paraId="4DB44B18" w14:textId="331E933A" w:rsidR="00CC1A15" w:rsidRPr="009D30DB" w:rsidRDefault="00332CD1" w:rsidP="00CC1A15">
            <w:pPr>
              <w:jc w:val="both"/>
            </w:pPr>
            <w:r w:rsidRPr="009D30DB">
              <w:lastRenderedPageBreak/>
              <w:t>2</w:t>
            </w:r>
            <w:r w:rsidR="00CC1A15" w:rsidRPr="009D30DB">
              <w:t>.</w:t>
            </w:r>
          </w:p>
        </w:tc>
        <w:tc>
          <w:tcPr>
            <w:tcW w:w="2037" w:type="dxa"/>
            <w:shd w:val="clear" w:color="auto" w:fill="auto"/>
          </w:tcPr>
          <w:p w14:paraId="2535672D" w14:textId="2A0DCA66" w:rsidR="00CC1A15" w:rsidRPr="009D30DB" w:rsidRDefault="00CC1A15" w:rsidP="00CC1A15">
            <w:pPr>
              <w:jc w:val="both"/>
            </w:pPr>
            <w:r w:rsidRPr="009D30DB">
              <w:t>art. 3 – uwaga ogólna</w:t>
            </w:r>
          </w:p>
          <w:p w14:paraId="75823AC5" w14:textId="77777777" w:rsidR="00CC1A15" w:rsidRPr="009D30DB" w:rsidRDefault="00CC1A15" w:rsidP="00CC1A15">
            <w:pPr>
              <w:jc w:val="both"/>
            </w:pPr>
          </w:p>
        </w:tc>
        <w:tc>
          <w:tcPr>
            <w:tcW w:w="4657" w:type="dxa"/>
            <w:shd w:val="clear" w:color="auto" w:fill="auto"/>
          </w:tcPr>
          <w:p w14:paraId="20159E11" w14:textId="23E2705E" w:rsidR="00CC1A15" w:rsidRPr="009D30DB" w:rsidRDefault="00CC1A15" w:rsidP="00CC1A15">
            <w:pPr>
              <w:pStyle w:val="Style7"/>
              <w:widowControl/>
              <w:spacing w:line="240" w:lineRule="auto"/>
              <w:ind w:firstLine="0"/>
              <w:rPr>
                <w:rStyle w:val="FontStyle14"/>
                <w:rFonts w:ascii="Times New Roman" w:hAnsi="Times New Roman" w:cs="Times New Roman"/>
              </w:rPr>
            </w:pPr>
            <w:r w:rsidRPr="009D30DB">
              <w:t>Może to spowodować również otrzymywanie większej ilości informacji z rejestru karnego państwa członkowskiego i konieczność weryfikowania dodatkowych danych. Projekt zwiększy liczbę procedur poprzez stworzenie reguł stosowania systemu ECRIS-TCN. Konieczność weryfikacji osoby w systemie ECRIS-TCN może przyczynić się do wydłużenia czasu na załatwienie sprawy, w szczególności, jeśli w wyniku weryfikacji zaistnieje konieczność zwrócenia się do państw członkowskich posiadających informacje na temat osoby, której dotyczyła weryfikacja.</w:t>
            </w:r>
          </w:p>
        </w:tc>
        <w:tc>
          <w:tcPr>
            <w:tcW w:w="2693" w:type="dxa"/>
          </w:tcPr>
          <w:p w14:paraId="7D140CB5" w14:textId="36C1FEB1" w:rsidR="00CC1A15" w:rsidRPr="009D30DB" w:rsidRDefault="004E1637" w:rsidP="00CC1A15">
            <w:pPr>
              <w:autoSpaceDE w:val="0"/>
              <w:autoSpaceDN w:val="0"/>
              <w:adjustRightInd w:val="0"/>
              <w:jc w:val="both"/>
              <w:rPr>
                <w:rFonts w:eastAsiaTheme="minorHAnsi"/>
                <w:b/>
                <w:bCs/>
                <w:lang w:eastAsia="en-US"/>
              </w:rPr>
            </w:pPr>
            <w:r w:rsidRPr="009D30DB">
              <w:rPr>
                <w:b/>
                <w:bCs/>
              </w:rPr>
              <w:t>Niezależne Stowarzyszenie Prokuratorów „Ad Vocem” </w:t>
            </w:r>
          </w:p>
        </w:tc>
        <w:tc>
          <w:tcPr>
            <w:tcW w:w="4111" w:type="dxa"/>
            <w:shd w:val="clear" w:color="auto" w:fill="auto"/>
          </w:tcPr>
          <w:p w14:paraId="785DA772" w14:textId="099B6619" w:rsidR="00CC1A15" w:rsidRPr="009D30DB" w:rsidRDefault="00CC1A15" w:rsidP="00CC1A15">
            <w:pPr>
              <w:autoSpaceDE w:val="0"/>
              <w:autoSpaceDN w:val="0"/>
              <w:adjustRightInd w:val="0"/>
              <w:jc w:val="both"/>
              <w:rPr>
                <w:rFonts w:eastAsiaTheme="minorHAnsi"/>
                <w:lang w:eastAsia="en-US"/>
              </w:rPr>
            </w:pPr>
            <w:r w:rsidRPr="009D30DB">
              <w:rPr>
                <w:rFonts w:eastAsiaTheme="minorHAnsi"/>
                <w:lang w:eastAsia="en-US"/>
              </w:rPr>
              <w:t>Ministerstwo Sprawiedliwości wyjaśnia, że obowiązki nałożone na Rzeczpospolitą Polską związane z systemem ECRIS-TCN wynikają z rozporządzenia Parlamentu Europejskiego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 (Dz. U. UE. L. z 2019 r. Nr 135, str. 1, z późn. zm.), które jest, zgodnie z art. 288 Traktatu o funkcjonowaniu Unii Europejskiej, aktem prawnym wiążącym w całości i bezpośrednio stosowanym we wszystkich państwach członkowskich. Na Polsce ciąży obowiązek uwzględniania wyroków skazujących zapadłych w innych państwach członkowskich zgodnie z decyzją ramową Rady 2008/675/</w:t>
            </w:r>
            <w:proofErr w:type="spellStart"/>
            <w:r w:rsidRPr="009D30DB">
              <w:rPr>
                <w:rFonts w:eastAsiaTheme="minorHAnsi"/>
                <w:lang w:eastAsia="en-US"/>
              </w:rPr>
              <w:t>WSiSW</w:t>
            </w:r>
            <w:proofErr w:type="spellEnd"/>
            <w:r w:rsidRPr="009D30DB">
              <w:rPr>
                <w:rFonts w:eastAsiaTheme="minorHAnsi"/>
                <w:lang w:eastAsia="en-US"/>
              </w:rPr>
              <w:t xml:space="preserve"> z dnia 24 lipca 2008 r. w sprawie uwzględniania w nowym postępowaniu karnym wyroków </w:t>
            </w:r>
            <w:r w:rsidRPr="009D30DB">
              <w:rPr>
                <w:rFonts w:eastAsiaTheme="minorHAnsi"/>
                <w:lang w:eastAsia="en-US"/>
              </w:rPr>
              <w:lastRenderedPageBreak/>
              <w:t>skazujących zapadłych w państwach członkowskich Unii Europejskiej (Dz. U. UE. L. z 2008 r. Nr 220, str. 32). Pozyskanie informacji na temat wyroków skazujących z rejestrów karnych innych państw członkowskich jest zatem obowiązkiem organów prowadzących postępowanie karne w Polsce, a samo korzystanie przez Polskę z systemu ECRIS-TCN nie może być postrzegane jako utrudnienie w prowadzeniu postępowania przez polskie organy, a rozwiązanie, które wspomaga te organy umożliwiając szybsze pozyskanie informacji o wyrokach skazujących wydanych wobec obywateli państw trzecich.</w:t>
            </w:r>
          </w:p>
        </w:tc>
      </w:tr>
      <w:tr w:rsidR="00CC1A15" w:rsidRPr="009D30DB" w14:paraId="4C820912" w14:textId="77777777" w:rsidTr="00D440FF">
        <w:trPr>
          <w:trHeight w:val="1544"/>
        </w:trPr>
        <w:tc>
          <w:tcPr>
            <w:tcW w:w="531" w:type="dxa"/>
            <w:shd w:val="clear" w:color="auto" w:fill="auto"/>
          </w:tcPr>
          <w:p w14:paraId="2BDAD586" w14:textId="066370B1" w:rsidR="00CC1A15" w:rsidRPr="009D30DB" w:rsidRDefault="00332CD1" w:rsidP="00CC1A15">
            <w:pPr>
              <w:jc w:val="both"/>
            </w:pPr>
            <w:r w:rsidRPr="009D30DB">
              <w:lastRenderedPageBreak/>
              <w:t>3</w:t>
            </w:r>
            <w:r w:rsidR="00CC1A15" w:rsidRPr="009D30DB">
              <w:t>.</w:t>
            </w:r>
          </w:p>
        </w:tc>
        <w:tc>
          <w:tcPr>
            <w:tcW w:w="2037" w:type="dxa"/>
            <w:shd w:val="clear" w:color="auto" w:fill="auto"/>
          </w:tcPr>
          <w:p w14:paraId="42983193" w14:textId="48C73729" w:rsidR="00CC1A15" w:rsidRPr="009D30DB" w:rsidRDefault="00CC1A15" w:rsidP="00CC1A15">
            <w:pPr>
              <w:jc w:val="both"/>
            </w:pPr>
            <w:r w:rsidRPr="009D30DB">
              <w:t>art. 3 – uwaga ogólna</w:t>
            </w:r>
          </w:p>
          <w:p w14:paraId="3E6FC1AD" w14:textId="77777777" w:rsidR="00CC1A15" w:rsidRPr="009D30DB" w:rsidRDefault="00CC1A15" w:rsidP="00CC1A15">
            <w:pPr>
              <w:jc w:val="both"/>
            </w:pPr>
          </w:p>
        </w:tc>
        <w:tc>
          <w:tcPr>
            <w:tcW w:w="4657" w:type="dxa"/>
            <w:shd w:val="clear" w:color="auto" w:fill="auto"/>
          </w:tcPr>
          <w:p w14:paraId="6065DAC5" w14:textId="185F3304" w:rsidR="00CC1A15" w:rsidRPr="009D30DB" w:rsidRDefault="00CC1A15" w:rsidP="00CC1A15">
            <w:pPr>
              <w:pStyle w:val="Style7"/>
              <w:widowControl/>
              <w:spacing w:line="240" w:lineRule="auto"/>
              <w:ind w:firstLine="0"/>
              <w:rPr>
                <w:rStyle w:val="FontStyle14"/>
                <w:rFonts w:ascii="Times New Roman" w:hAnsi="Times New Roman" w:cs="Times New Roman"/>
              </w:rPr>
            </w:pPr>
            <w:r w:rsidRPr="009D30DB">
              <w:t xml:space="preserve">Przewiduje się niewielki wzrost liczby procedur związanych z obowiązkiem pobrania w ramach prowadzonego postępowania karnego odcisków linii papilarnych przez Policję i pozostałe organy, którym przysługują uprawnienia Policji w zakresie pobierania odcisków linii papilarnych od obywateli państw trzecich. Należy wskazać, że obecnie obowiązujące przepisy krajowe pozwalają w szerokim zakresie pobierać odciski linii papilarnych w ramach postępowania karnego. Odciski są co do zasady za każdym razem pobierane od podejrzanych i oskarżonych. Z uwagi na ich wysoką wartość </w:t>
            </w:r>
            <w:proofErr w:type="spellStart"/>
            <w:r w:rsidRPr="009D30DB">
              <w:t>wykrywczą</w:t>
            </w:r>
            <w:proofErr w:type="spellEnd"/>
            <w:r w:rsidRPr="009D30DB">
              <w:t xml:space="preserve">, dowodową </w:t>
            </w:r>
            <w:r w:rsidRPr="009D30DB">
              <w:lastRenderedPageBreak/>
              <w:t xml:space="preserve">oraz identyfikacyjną od pobrania odcisków linii papilarnych odstępuje się wyjątkowo. Projektowana regulacja ma zapewnić, by w przypadku obywateli państw trzecich, wobec których prowadzone jest postępowanie karne, odciski były pobierane za każdym razem bez żadnych odstępstw i to na jak najwcześniejszym etapie postępowania, by w przypadku skazania takiej osoby Biuro Informacyjne Krajowego Rejestru Karnego dysponowało danymi daktyloskopijnymi, które powinny zostać zamieszczone we wpisie w systemie ECRIS-TCN. Wzrost procedur dotyczących pobierania odcisków linii papilarnych związany jest również z faktem, że odciski będą pobierane na polecenie sądu przez Policję od obywateli państw trzecich w sprawach prywatnoskargowych oraz na wniosek organów prowadzących postępowanie przygotowawcze, które nie są uprawnione do dokonania tego rodzaju czynności na podstawie ustaw regulujących działanie tych organów. Wątpliwości budzi fakt, że projekt wpłynie na obywateli w zakresie w jakim biuro informacyjne utworzy wpis w systemie ECRIS-TCN w przypadku gdy obywatel RP posiada również obywatelstwo państwa trzeciego: w przypadku złożenia do biura informacyjnego zapytania o obywatela RP, podmiot pytający będzie mógł wnioskować </w:t>
            </w:r>
            <w:r w:rsidRPr="009D30DB">
              <w:lastRenderedPageBreak/>
              <w:t>o sprawdzenie, czy dane osoby nie znajdują się w systemie ECRIS-TCN, a w przypadku gdy obywatel RP posiada także obywatelstwo państwa trzeciego, biuro informacyjne będzie miało co do zasady obowiązek zweryfikować, czy osoba nie posiada wpisów w systemie ECRIS-TCN. W konsekwencji weryfikacji obywatela RP w systemie ECRIS-TCN informacja z Krajowego Rejestru Karnego zawierać będzie również informację z rejestrów karnych państw członkowskich posiadających informacje na temat tej osoby albo informację o braku wpisów w systemie ECRIS-TCN.</w:t>
            </w:r>
          </w:p>
        </w:tc>
        <w:tc>
          <w:tcPr>
            <w:tcW w:w="2693" w:type="dxa"/>
          </w:tcPr>
          <w:p w14:paraId="5FC4FCAF" w14:textId="0F81A29D" w:rsidR="00CC1A15" w:rsidRPr="009D30DB" w:rsidRDefault="004E1637" w:rsidP="00CC1A15">
            <w:pPr>
              <w:autoSpaceDE w:val="0"/>
              <w:autoSpaceDN w:val="0"/>
              <w:adjustRightInd w:val="0"/>
              <w:jc w:val="both"/>
              <w:rPr>
                <w:rFonts w:eastAsiaTheme="minorHAnsi"/>
                <w:b/>
                <w:bCs/>
                <w:lang w:eastAsia="en-US"/>
              </w:rPr>
            </w:pPr>
            <w:r w:rsidRPr="009D30DB">
              <w:rPr>
                <w:b/>
                <w:bCs/>
              </w:rPr>
              <w:lastRenderedPageBreak/>
              <w:t>Niezależne Stowarzyszenie Prokuratorów „Ad Vocem” </w:t>
            </w:r>
          </w:p>
        </w:tc>
        <w:tc>
          <w:tcPr>
            <w:tcW w:w="4111" w:type="dxa"/>
            <w:shd w:val="clear" w:color="auto" w:fill="auto"/>
          </w:tcPr>
          <w:p w14:paraId="3E869800" w14:textId="418971EA" w:rsidR="00CC1A15" w:rsidRPr="009D30DB" w:rsidRDefault="00CC1A15" w:rsidP="00CC1A15">
            <w:pPr>
              <w:autoSpaceDE w:val="0"/>
              <w:autoSpaceDN w:val="0"/>
              <w:adjustRightInd w:val="0"/>
              <w:jc w:val="both"/>
              <w:rPr>
                <w:rFonts w:eastAsiaTheme="minorHAnsi"/>
                <w:lang w:eastAsia="en-US"/>
              </w:rPr>
            </w:pPr>
            <w:r w:rsidRPr="009D30DB">
              <w:rPr>
                <w:rFonts w:eastAsiaTheme="minorHAnsi"/>
                <w:lang w:eastAsia="en-US"/>
              </w:rPr>
              <w:t xml:space="preserve">Ministerstwo Sprawiedliwości wyjaśnia, że obywatele Rzeczypospolitej Polskiej posiadający równocześnie obywatelstwo państwa trzeciego zostali objęci zakresem podmiotowym rozporządzenia 2019/816 - zgodnie z art. 2 tego rozporządzenia. Zgodnie z motywem 9 rozporządzenia 2019/816 cel polegający na zapewnieniu obywatelom Unii przestrzeni wolności, bezpieczeństwa i sprawiedliwości bez granic wewnętrznych, w której zapewniony jest swobodny przepływ osób, </w:t>
            </w:r>
            <w:r w:rsidRPr="009D30DB">
              <w:rPr>
                <w:rFonts w:eastAsiaTheme="minorHAnsi"/>
                <w:lang w:eastAsia="en-US"/>
              </w:rPr>
              <w:lastRenderedPageBreak/>
              <w:t>wymaga również posiadania pełnych informacji dotyczących wyroków skazujących obywateli Unii, którzy posiadają także obywatelstwo państwa trzeciego. Z uwagi na to, że osoby te mogą posługiwać się jednym obywatelstwem lub kilkoma obywatelstwami, a poszczególne wyroki skazujące mogą być przechowywane w skazującym państwie członkowskim lub w państwie członkowskim, którego obywatelem jest dana osoba, konieczne jest, aby zakresem stosowania niniejszego rozporządzenia objęci zostali obywateli Unii, który posiadają także obywatelstwo państwa trzeciego. Wykluczenie tych osób spowodowałoby, że informacje przechowywane w ECRIS-TCN byłyby niepełne. To zagroziłoby wiarygodności systemu.</w:t>
            </w:r>
          </w:p>
        </w:tc>
      </w:tr>
      <w:tr w:rsidR="00CC1A15" w:rsidRPr="009D30DB" w14:paraId="2B3CA42C" w14:textId="77777777" w:rsidTr="00D440FF">
        <w:trPr>
          <w:trHeight w:val="1544"/>
        </w:trPr>
        <w:tc>
          <w:tcPr>
            <w:tcW w:w="531" w:type="dxa"/>
            <w:shd w:val="clear" w:color="auto" w:fill="auto"/>
          </w:tcPr>
          <w:p w14:paraId="33A2E5E9" w14:textId="49472198" w:rsidR="00CC1A15" w:rsidRPr="009D30DB" w:rsidRDefault="00332CD1" w:rsidP="00CC1A15">
            <w:pPr>
              <w:jc w:val="both"/>
            </w:pPr>
            <w:r w:rsidRPr="009D30DB">
              <w:lastRenderedPageBreak/>
              <w:t>4</w:t>
            </w:r>
            <w:r w:rsidR="00CC1A15" w:rsidRPr="009D30DB">
              <w:t>.</w:t>
            </w:r>
          </w:p>
        </w:tc>
        <w:tc>
          <w:tcPr>
            <w:tcW w:w="2037" w:type="dxa"/>
            <w:shd w:val="clear" w:color="auto" w:fill="auto"/>
          </w:tcPr>
          <w:p w14:paraId="63B2BCC7" w14:textId="78D9CC45" w:rsidR="00CC1A15" w:rsidRPr="009D30DB" w:rsidRDefault="00CC1A15" w:rsidP="00CC1A15">
            <w:pPr>
              <w:jc w:val="both"/>
            </w:pPr>
            <w:r w:rsidRPr="009D30DB">
              <w:t>art. 3 – uwaga ogólna</w:t>
            </w:r>
          </w:p>
          <w:p w14:paraId="38FBE514" w14:textId="77777777" w:rsidR="00CC1A15" w:rsidRPr="009D30DB" w:rsidRDefault="00CC1A15" w:rsidP="00CC1A15">
            <w:pPr>
              <w:jc w:val="both"/>
            </w:pPr>
          </w:p>
        </w:tc>
        <w:tc>
          <w:tcPr>
            <w:tcW w:w="4657" w:type="dxa"/>
            <w:shd w:val="clear" w:color="auto" w:fill="auto"/>
          </w:tcPr>
          <w:p w14:paraId="328FF20E" w14:textId="13445DF5" w:rsidR="00CC1A15" w:rsidRPr="009D30DB" w:rsidRDefault="00CC1A15" w:rsidP="00CC1A15">
            <w:pPr>
              <w:pStyle w:val="Style7"/>
              <w:widowControl/>
              <w:spacing w:line="240" w:lineRule="auto"/>
              <w:ind w:firstLine="0"/>
              <w:rPr>
                <w:rStyle w:val="FontStyle14"/>
                <w:rFonts w:ascii="Times New Roman" w:hAnsi="Times New Roman" w:cs="Times New Roman"/>
              </w:rPr>
            </w:pPr>
            <w:r w:rsidRPr="009D30DB">
              <w:t>Wątpliwości budzi również rozszerzona definicja wyroku skazującego poprzez zamianę wyrazu „przestępstwo” na „czyn zabroniony”. Zgodnie z uzasadnieniem projektowanej ustawy „wynika to z dotychczasowej praktyki biura informacyjnego, zgodnie z którą organom centralnym państw członkowskich przekazywano informacje o wszystkich orzeczeniach zapadłych wobec obywateli tych państw, w tym również dotyczące wykroczeń oraz osób, które dopuściły się czynu zabronionego w stanie niepoczytalności. Wynikało to również z tłumaczenia decyzji ramowej Rady 2009/315/</w:t>
            </w:r>
            <w:proofErr w:type="spellStart"/>
            <w:r w:rsidRPr="009D30DB">
              <w:t>WSiSW</w:t>
            </w:r>
            <w:proofErr w:type="spellEnd"/>
            <w:r w:rsidRPr="009D30DB">
              <w:t xml:space="preserve"> z dnia 26 lutego 2009 r. w sprawie organizacji wymiany informacji </w:t>
            </w:r>
            <w:r w:rsidRPr="009D30DB">
              <w:lastRenderedPageBreak/>
              <w:t>pochodzących z rejestru karnego pomiędzy państwami członkowskimi oraz treści tych informacji (Dz. Urz. UE L 93 z 07.04.2009, str. 23 oraz Dz. Urz. UE L Nr 151 z 07.06.2019, str. 143), w której zwrot „</w:t>
            </w:r>
            <w:proofErr w:type="spellStart"/>
            <w:r w:rsidRPr="009D30DB">
              <w:t>criminal</w:t>
            </w:r>
            <w:proofErr w:type="spellEnd"/>
            <w:r w:rsidRPr="009D30DB">
              <w:t xml:space="preserve"> </w:t>
            </w:r>
            <w:proofErr w:type="spellStart"/>
            <w:r w:rsidRPr="009D30DB">
              <w:t>offence</w:t>
            </w:r>
            <w:proofErr w:type="spellEnd"/>
            <w:r w:rsidRPr="009D30DB">
              <w:t xml:space="preserve">” mógł oznaczać zarówno przestępstwo, jak i każdy inny czyn zabroniony, co wynika z różnic w systemach prawnych państw członkowskich. Zastosowane rozwiązanie jest więc zgodne z ratio legis decyzji ramowej i ujednolica jej rozumienie przez kraje członkowskie.” Natomiast w polskim systemie prawnym zgodnie z art. 115 § 1 Kodeksu karnego czyn zabroniony to zachowanie o znamionach określonych w ustawie karnej. O czynie zabronionym możemy jednak mówić również w kontekście Kodeksu wykroczeń. Czyn zabroniony jest jedną z przesłanek składających się na definicję przestępstwa. Aby można było zakwalifikować takie zachowanie jako przestępstwo, obok czynu zabronionego muszą wystąpić: bezprawność czynu, społeczna szkodliwość czynu scharakteryzowana jako wyższa niż znikoma, a także czyn ten musi być zawiniony. W przypadku wykroczenia nie jest wymagane, aby szkodliwość społeczna była wyższa niż znikoma. Należy odróżnić czyn zabroniony od przestępstwa. Obowiązuje zasada, że ,,nie każdy czyn zabroniony jest przestępstwem, ale każde </w:t>
            </w:r>
            <w:r w:rsidRPr="009D30DB">
              <w:lastRenderedPageBreak/>
              <w:t>przestępstwo jest czynem zabronionym’’. Jeżeli osobie, która popełniła czyn zabroniony nie da się przypisać winy, czyn ten nie będzie stanowił przestępstwa. Projektowane zmiany mogą wzbudzić szereg wątpliwości interpretacyjnych.</w:t>
            </w:r>
          </w:p>
        </w:tc>
        <w:tc>
          <w:tcPr>
            <w:tcW w:w="2693" w:type="dxa"/>
          </w:tcPr>
          <w:p w14:paraId="68A59960" w14:textId="5D56607F" w:rsidR="00CC1A15" w:rsidRPr="009D30DB" w:rsidRDefault="004E1637" w:rsidP="00CC1A15">
            <w:pPr>
              <w:autoSpaceDE w:val="0"/>
              <w:autoSpaceDN w:val="0"/>
              <w:adjustRightInd w:val="0"/>
              <w:jc w:val="both"/>
              <w:rPr>
                <w:rFonts w:eastAsiaTheme="minorHAnsi"/>
                <w:b/>
                <w:bCs/>
                <w:lang w:eastAsia="en-US"/>
              </w:rPr>
            </w:pPr>
            <w:r w:rsidRPr="009D30DB">
              <w:rPr>
                <w:b/>
                <w:bCs/>
              </w:rPr>
              <w:lastRenderedPageBreak/>
              <w:t>Niezależne Stowarzyszenie Prokuratorów „Ad Vocem” </w:t>
            </w:r>
          </w:p>
        </w:tc>
        <w:tc>
          <w:tcPr>
            <w:tcW w:w="4111" w:type="dxa"/>
            <w:shd w:val="clear" w:color="auto" w:fill="auto"/>
          </w:tcPr>
          <w:p w14:paraId="1CEB3A14" w14:textId="525DABE3" w:rsidR="00CC1A15" w:rsidRPr="009D30DB" w:rsidRDefault="00CC1A15" w:rsidP="00CC1A15">
            <w:pPr>
              <w:autoSpaceDE w:val="0"/>
              <w:autoSpaceDN w:val="0"/>
              <w:adjustRightInd w:val="0"/>
              <w:jc w:val="both"/>
              <w:rPr>
                <w:rFonts w:eastAsiaTheme="minorHAnsi"/>
                <w:lang w:eastAsia="en-US"/>
              </w:rPr>
            </w:pPr>
            <w:r w:rsidRPr="009D30DB">
              <w:rPr>
                <w:rFonts w:eastAsiaTheme="minorHAnsi"/>
                <w:lang w:eastAsia="en-US"/>
              </w:rPr>
              <w:t xml:space="preserve">Ministerstwo Sprawiedliwości  zgadza się z twierdzeniami zgłaszającego uwagę dotyczącymi wskazanych różnic pomiędzy czynem zabronionym a przestępstwem. Posłużenie się szerokim terminem „czyn zabroniony” miało na celu objęcie orzeczeń, w których nie doszło do popełnienia przestępstwa z uwagi na to, ze osobie, która popełniła czyn zabroniony nie da się przypisać winy. Takie orzeczenia również podlegają gromadzeniu w Krajowym Rejestrze Karnym, a celem ww. zmiany było umożliwienie szerokiego przekazywania innym państwom członkowskim informacji o orzeczeniach gromadzonych w </w:t>
            </w:r>
            <w:r w:rsidRPr="009D30DB">
              <w:rPr>
                <w:rFonts w:eastAsiaTheme="minorHAnsi"/>
                <w:lang w:eastAsia="en-US"/>
              </w:rPr>
              <w:lastRenderedPageBreak/>
              <w:t>Krajowym Rejestrze Karnym, tj. przestępstwach, wykroczeniach oraz orzeczeniach dotyczących środków</w:t>
            </w:r>
          </w:p>
          <w:p w14:paraId="684A2483" w14:textId="74ED0D5F" w:rsidR="00CC1A15" w:rsidRPr="009D30DB" w:rsidRDefault="00CC1A15" w:rsidP="00CC1A15">
            <w:pPr>
              <w:autoSpaceDE w:val="0"/>
              <w:autoSpaceDN w:val="0"/>
              <w:adjustRightInd w:val="0"/>
              <w:jc w:val="both"/>
              <w:rPr>
                <w:rFonts w:eastAsiaTheme="minorHAnsi"/>
                <w:lang w:eastAsia="en-US"/>
              </w:rPr>
            </w:pPr>
            <w:r w:rsidRPr="009D30DB">
              <w:rPr>
                <w:rFonts w:eastAsiaTheme="minorHAnsi"/>
                <w:lang w:eastAsia="en-US"/>
              </w:rPr>
              <w:t>zabezpieczających w sprawach o przestępstwa lub przestępstwa skarbowe. Ponadto definicja wyroku skazującego obowiązuje na gruncie</w:t>
            </w:r>
          </w:p>
          <w:p w14:paraId="5745C8FE" w14:textId="2AC8CC71" w:rsidR="00CC1A15" w:rsidRPr="009D30DB" w:rsidRDefault="00CC1A15" w:rsidP="00CC1A15">
            <w:pPr>
              <w:autoSpaceDE w:val="0"/>
              <w:autoSpaceDN w:val="0"/>
              <w:adjustRightInd w:val="0"/>
              <w:jc w:val="both"/>
              <w:rPr>
                <w:rFonts w:eastAsiaTheme="minorHAnsi"/>
                <w:lang w:eastAsia="en-US"/>
              </w:rPr>
            </w:pPr>
            <w:r w:rsidRPr="009D30DB">
              <w:rPr>
                <w:rFonts w:eastAsiaTheme="minorHAnsi"/>
                <w:lang w:eastAsia="en-US"/>
              </w:rPr>
              <w:t xml:space="preserve">ustawy o Krajowym Rejestrze Karnym jedynie na potrzeby wymiany informacji z rejestrów karnych z innymi organami centralnymi państw członkowskich. W praktyce oznacza to, że oceny, czy dane orzeczenie zgromadzone w Krajowym Rejestrze Karnym, stanowi wyrok skazujący w rozumieniu ustawy o Krajowym Rejestrze Karnym, będą dokonywali pracownicy Biura Informacyjnego Rejestru Karnego, co już obecnie robią. Ocena ta jest dokonywana w celu ustalenia, czy dane gromadzone w Krajowym Rejestrze Karnym powinny zostać udostępnione innym państwom członkowskim Unii Europejskiej oraz czy dane przekazywane przez te państwa powinny podlegać gromadzeniu w Krajowym Rejestrze Karnym. Ministerstwo Sprawiedliwości wskazuje jednocześnie, że zgłaszający uwagę nie sprecyzował jakiego rodzaju wątpliwości interpretacyjne mogłyby </w:t>
            </w:r>
            <w:r w:rsidRPr="009D30DB">
              <w:rPr>
                <w:rFonts w:eastAsiaTheme="minorHAnsi"/>
                <w:lang w:eastAsia="en-US"/>
              </w:rPr>
              <w:lastRenderedPageBreak/>
              <w:t>powstać na skutek projektowanej zmiany. Ministerstwo Sprawiedliwości wyjaśnia, że projektowana definicja wyroku skazującego nie będzie obowiązywała podmiotów, które prowadzą w Polsce różnego rodzaju postępowania, które są zobowiązane do oceny informacji otrzymywanych z rejestrów karnych zgodnie z przepisami regulującymi ich działalność.</w:t>
            </w:r>
          </w:p>
        </w:tc>
      </w:tr>
      <w:tr w:rsidR="00CC1A15" w:rsidRPr="009D30DB" w14:paraId="7F0EC24C" w14:textId="77777777" w:rsidTr="00D440FF">
        <w:trPr>
          <w:trHeight w:val="1544"/>
        </w:trPr>
        <w:tc>
          <w:tcPr>
            <w:tcW w:w="531" w:type="dxa"/>
            <w:shd w:val="clear" w:color="auto" w:fill="auto"/>
          </w:tcPr>
          <w:p w14:paraId="5072F50A" w14:textId="6B56200B" w:rsidR="00CC1A15" w:rsidRPr="009D30DB" w:rsidRDefault="00332CD1" w:rsidP="00CC1A15">
            <w:pPr>
              <w:jc w:val="both"/>
            </w:pPr>
            <w:r w:rsidRPr="009D30DB">
              <w:lastRenderedPageBreak/>
              <w:t>5</w:t>
            </w:r>
            <w:r w:rsidR="00CC1A15" w:rsidRPr="009D30DB">
              <w:t>.</w:t>
            </w:r>
          </w:p>
        </w:tc>
        <w:tc>
          <w:tcPr>
            <w:tcW w:w="2037" w:type="dxa"/>
            <w:shd w:val="clear" w:color="auto" w:fill="auto"/>
          </w:tcPr>
          <w:p w14:paraId="5B00F91B" w14:textId="662967B8" w:rsidR="00CC1A15" w:rsidRPr="009D30DB" w:rsidRDefault="00CC1A15" w:rsidP="00CC1A15">
            <w:pPr>
              <w:jc w:val="both"/>
            </w:pPr>
            <w:r w:rsidRPr="009D30DB">
              <w:t>art. 3 – uwaga ogólna</w:t>
            </w:r>
          </w:p>
          <w:p w14:paraId="65413F08" w14:textId="77777777" w:rsidR="00CC1A15" w:rsidRPr="009D30DB" w:rsidRDefault="00CC1A15" w:rsidP="00CC1A15">
            <w:pPr>
              <w:jc w:val="both"/>
            </w:pPr>
          </w:p>
        </w:tc>
        <w:tc>
          <w:tcPr>
            <w:tcW w:w="4657" w:type="dxa"/>
            <w:shd w:val="clear" w:color="auto" w:fill="auto"/>
          </w:tcPr>
          <w:p w14:paraId="131C034E" w14:textId="766AC756" w:rsidR="00CC1A15" w:rsidRPr="009D30DB" w:rsidRDefault="00CC1A15" w:rsidP="00CC1A15">
            <w:pPr>
              <w:pStyle w:val="Style7"/>
              <w:widowControl/>
              <w:spacing w:line="240" w:lineRule="auto"/>
              <w:ind w:firstLine="0"/>
              <w:rPr>
                <w:rStyle w:val="FontStyle14"/>
                <w:rFonts w:ascii="Times New Roman" w:hAnsi="Times New Roman" w:cs="Times New Roman"/>
              </w:rPr>
            </w:pPr>
            <w:r w:rsidRPr="009D30DB">
              <w:t xml:space="preserve">Wątpliwości budzi także fakt, iż projektowane rozwiązania ze względu na stopień szczegółowości nie były poddawane analizie </w:t>
            </w:r>
            <w:proofErr w:type="spellStart"/>
            <w:r w:rsidRPr="009D30DB">
              <w:t>prawnoporównawczej</w:t>
            </w:r>
            <w:proofErr w:type="spellEnd"/>
            <w:r w:rsidRPr="009D30DB">
              <w:t>. Projekt ustawy o zmianie ustawy o Krajowym Rejestrze Karnym, ustawy o Policji, ustawy – Kodeks postępowania karnego oraz ustawy - Kodeks karny skarbowy ma na celu wdrożenie Dyrektywy Parlamentu Europejskiego i Rady (UE) 2019/884 z dnia 17 kwietnia 2019 r. zmieniającej decyzję ramową Rady 2009/315/</w:t>
            </w:r>
            <w:proofErr w:type="spellStart"/>
            <w:r w:rsidRPr="009D30DB">
              <w:t>WSiSW</w:t>
            </w:r>
            <w:proofErr w:type="spellEnd"/>
            <w:r w:rsidRPr="009D30DB">
              <w:t xml:space="preserve">  w odniesieniu do wymiany informacji dotyczących obywateli państw trzecich oraz w odniesieniu do europejskiego systemu przekazywania informacji z rejestrów karnych (ECRIS) i zastępującej decyzję Rady 2009/316/</w:t>
            </w:r>
            <w:proofErr w:type="spellStart"/>
            <w:r w:rsidRPr="009D30DB">
              <w:t>WSiSW</w:t>
            </w:r>
            <w:proofErr w:type="spellEnd"/>
            <w:r w:rsidRPr="009D30DB">
              <w:t xml:space="preserve"> (Dz. U. UE. L. z 2019 r. Nr 151, str. 143), a także służy stosowaniu Rozporządzenia Parlamentu Europejskiego i Rady (UE) 2019/816 z dnia </w:t>
            </w:r>
            <w:r w:rsidRPr="009D30DB">
              <w:lastRenderedPageBreak/>
              <w:t xml:space="preserve">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 (Dz. U. UE. L. z 2019 r. Nr 135, str. 1 z późn. zm., dalej: rozporządzenie 2019/816). Implementowane przez projekt przepisy prawa unijnego służą poprawie sytuacji dotyczącej wymiany informacji o wyrokach skazujących wydawanych na terytorium Unii Europejskiej wobec obywateli państw trzecich i gromadzonych w rejestrach karnych państw członkowskich i co do zasady będą obowiązywały wszystkie państwa członkowskie (zgodnie z rozporządzeniem 2019/816 Dania i Irlandia nie uczestniczą w przyjęciu niniejszego rozporządzenia i nie są nim związane ani go nie stosują).        </w:t>
            </w:r>
          </w:p>
        </w:tc>
        <w:tc>
          <w:tcPr>
            <w:tcW w:w="2693" w:type="dxa"/>
          </w:tcPr>
          <w:p w14:paraId="169DD53A" w14:textId="2C861CBF" w:rsidR="00CC1A15" w:rsidRPr="009D30DB" w:rsidRDefault="004E1637" w:rsidP="00CC1A15">
            <w:pPr>
              <w:autoSpaceDE w:val="0"/>
              <w:autoSpaceDN w:val="0"/>
              <w:adjustRightInd w:val="0"/>
              <w:jc w:val="both"/>
              <w:rPr>
                <w:rFonts w:eastAsiaTheme="minorHAnsi"/>
                <w:b/>
                <w:bCs/>
                <w:lang w:eastAsia="en-US"/>
              </w:rPr>
            </w:pPr>
            <w:r w:rsidRPr="009D30DB">
              <w:rPr>
                <w:b/>
                <w:bCs/>
              </w:rPr>
              <w:lastRenderedPageBreak/>
              <w:t>Niezależne Stowarzyszenie Prokuratorów „Ad Vocem” </w:t>
            </w:r>
          </w:p>
        </w:tc>
        <w:tc>
          <w:tcPr>
            <w:tcW w:w="4111" w:type="dxa"/>
            <w:shd w:val="clear" w:color="auto" w:fill="auto"/>
          </w:tcPr>
          <w:p w14:paraId="2AF73E7C" w14:textId="574DB179" w:rsidR="00CC1A15" w:rsidRPr="009D30DB" w:rsidRDefault="00CC1A15" w:rsidP="00CC1A15">
            <w:pPr>
              <w:autoSpaceDE w:val="0"/>
              <w:autoSpaceDN w:val="0"/>
              <w:adjustRightInd w:val="0"/>
              <w:jc w:val="both"/>
            </w:pPr>
            <w:r w:rsidRPr="009D30DB">
              <w:rPr>
                <w:rFonts w:eastAsiaTheme="minorHAnsi"/>
                <w:lang w:eastAsia="en-US"/>
              </w:rPr>
              <w:t>Z uwagi na lakoniczność i ogólnikowość, nie poddaje się niniejszej uwagi ocenie i ewentualnej polemice.</w:t>
            </w:r>
          </w:p>
          <w:p w14:paraId="34B7824E" w14:textId="2CB5BB59" w:rsidR="00CC1A15" w:rsidRPr="009D30DB" w:rsidRDefault="00CC1A15" w:rsidP="00CC1A15">
            <w:pPr>
              <w:pStyle w:val="ARTartustawynprozporzdzenia"/>
              <w:spacing w:before="0" w:line="240" w:lineRule="auto"/>
              <w:ind w:firstLine="0"/>
              <w:rPr>
                <w:rFonts w:ascii="Times New Roman" w:hAnsi="Times New Roman" w:cs="Times New Roman"/>
                <w:szCs w:val="24"/>
              </w:rPr>
            </w:pPr>
          </w:p>
        </w:tc>
      </w:tr>
    </w:tbl>
    <w:p w14:paraId="5B02D821" w14:textId="4C9860C1" w:rsidR="0005092C" w:rsidRPr="009D30DB" w:rsidRDefault="0005092C" w:rsidP="00C3241F">
      <w:pPr>
        <w:jc w:val="both"/>
      </w:pPr>
    </w:p>
    <w:sectPr w:rsidR="0005092C" w:rsidRPr="009D30DB" w:rsidSect="00F4089C">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B0E7A" w14:textId="77777777" w:rsidR="000B4DB9" w:rsidRDefault="000B4DB9" w:rsidP="005A6621">
      <w:r>
        <w:separator/>
      </w:r>
    </w:p>
  </w:endnote>
  <w:endnote w:type="continuationSeparator" w:id="0">
    <w:p w14:paraId="747AC2AA" w14:textId="77777777" w:rsidR="000B4DB9" w:rsidRDefault="000B4DB9" w:rsidP="005A6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ItalicMT">
    <w:altName w:val="Times New Roman"/>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Medium">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4925611"/>
      <w:docPartObj>
        <w:docPartGallery w:val="Page Numbers (Bottom of Page)"/>
        <w:docPartUnique/>
      </w:docPartObj>
    </w:sdtPr>
    <w:sdtContent>
      <w:p w14:paraId="3DFD7BF1" w14:textId="53087728" w:rsidR="003E79C8" w:rsidRDefault="003E79C8" w:rsidP="00D440FF">
        <w:pPr>
          <w:pStyle w:val="Stopka"/>
          <w:jc w:val="center"/>
        </w:pPr>
        <w:r>
          <w:fldChar w:fldCharType="begin"/>
        </w:r>
        <w:r>
          <w:instrText>PAGE   \* MERGEFORMAT</w:instrText>
        </w:r>
        <w:r>
          <w:fldChar w:fldCharType="separate"/>
        </w:r>
        <w:r w:rsidR="00B43BC0">
          <w:rPr>
            <w:noProof/>
          </w:rPr>
          <w:t>34</w:t>
        </w:r>
        <w:r>
          <w:fldChar w:fldCharType="end"/>
        </w:r>
      </w:p>
    </w:sdtContent>
  </w:sdt>
  <w:p w14:paraId="5A1B3C27" w14:textId="77777777" w:rsidR="003E79C8" w:rsidRDefault="003E7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9F785" w14:textId="77777777" w:rsidR="000B4DB9" w:rsidRDefault="000B4DB9" w:rsidP="005A6621">
      <w:r>
        <w:separator/>
      </w:r>
    </w:p>
  </w:footnote>
  <w:footnote w:type="continuationSeparator" w:id="0">
    <w:p w14:paraId="65EEB6DE" w14:textId="77777777" w:rsidR="000B4DB9" w:rsidRDefault="000B4DB9" w:rsidP="005A66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88E954E"/>
    <w:lvl w:ilvl="0">
      <w:numFmt w:val="bullet"/>
      <w:lvlText w:val="*"/>
      <w:lvlJc w:val="left"/>
    </w:lvl>
  </w:abstractNum>
  <w:abstractNum w:abstractNumId="1" w15:restartNumberingAfterBreak="0">
    <w:nsid w:val="0A934AC0"/>
    <w:multiLevelType w:val="singleLevel"/>
    <w:tmpl w:val="A860DAE8"/>
    <w:lvl w:ilvl="0">
      <w:start w:val="1"/>
      <w:numFmt w:val="decimal"/>
      <w:lvlText w:val="%1)"/>
      <w:legacy w:legacy="1" w:legacySpace="0" w:legacyIndent="351"/>
      <w:lvlJc w:val="left"/>
      <w:rPr>
        <w:rFonts w:ascii="Times New Roman" w:hAnsi="Times New Roman" w:cs="Times New Roman" w:hint="default"/>
      </w:rPr>
    </w:lvl>
  </w:abstractNum>
  <w:abstractNum w:abstractNumId="2" w15:restartNumberingAfterBreak="0">
    <w:nsid w:val="0E3960E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F1A7A7F"/>
    <w:multiLevelType w:val="singleLevel"/>
    <w:tmpl w:val="3F92140C"/>
    <w:lvl w:ilvl="0">
      <w:start w:val="5"/>
      <w:numFmt w:val="decimal"/>
      <w:lvlText w:val="%1."/>
      <w:legacy w:legacy="1" w:legacySpace="0" w:legacyIndent="350"/>
      <w:lvlJc w:val="left"/>
      <w:rPr>
        <w:rFonts w:ascii="Times New Roman" w:hAnsi="Times New Roman" w:cs="Times New Roman" w:hint="default"/>
      </w:rPr>
    </w:lvl>
  </w:abstractNum>
  <w:abstractNum w:abstractNumId="4" w15:restartNumberingAfterBreak="0">
    <w:nsid w:val="18837F5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36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FE4952"/>
    <w:multiLevelType w:val="hybridMultilevel"/>
    <w:tmpl w:val="DF7675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1591E32"/>
    <w:multiLevelType w:val="hybridMultilevel"/>
    <w:tmpl w:val="428C5312"/>
    <w:lvl w:ilvl="0" w:tplc="558AF360">
      <w:start w:val="1"/>
      <w:numFmt w:val="decimal"/>
      <w:lvlText w:val="%1."/>
      <w:lvlJc w:val="left"/>
      <w:pPr>
        <w:ind w:left="1425" w:hanging="360"/>
      </w:pPr>
    </w:lvl>
    <w:lvl w:ilvl="1" w:tplc="2CF4FE68" w:tentative="1">
      <w:start w:val="1"/>
      <w:numFmt w:val="lowerLetter"/>
      <w:lvlText w:val="%2."/>
      <w:lvlJc w:val="left"/>
      <w:pPr>
        <w:ind w:left="2145" w:hanging="360"/>
      </w:pPr>
    </w:lvl>
    <w:lvl w:ilvl="2" w:tplc="9B20B83A" w:tentative="1">
      <w:start w:val="1"/>
      <w:numFmt w:val="lowerRoman"/>
      <w:lvlText w:val="%3."/>
      <w:lvlJc w:val="right"/>
      <w:pPr>
        <w:ind w:left="2865" w:hanging="180"/>
      </w:pPr>
    </w:lvl>
    <w:lvl w:ilvl="3" w:tplc="39E6A518" w:tentative="1">
      <w:start w:val="1"/>
      <w:numFmt w:val="decimal"/>
      <w:lvlText w:val="%4."/>
      <w:lvlJc w:val="left"/>
      <w:pPr>
        <w:ind w:left="3585" w:hanging="360"/>
      </w:pPr>
    </w:lvl>
    <w:lvl w:ilvl="4" w:tplc="12E41B42" w:tentative="1">
      <w:start w:val="1"/>
      <w:numFmt w:val="lowerLetter"/>
      <w:lvlText w:val="%5."/>
      <w:lvlJc w:val="left"/>
      <w:pPr>
        <w:ind w:left="4305" w:hanging="360"/>
      </w:pPr>
    </w:lvl>
    <w:lvl w:ilvl="5" w:tplc="07301368" w:tentative="1">
      <w:start w:val="1"/>
      <w:numFmt w:val="lowerRoman"/>
      <w:lvlText w:val="%6."/>
      <w:lvlJc w:val="right"/>
      <w:pPr>
        <w:ind w:left="5025" w:hanging="180"/>
      </w:pPr>
    </w:lvl>
    <w:lvl w:ilvl="6" w:tplc="008EBF24" w:tentative="1">
      <w:start w:val="1"/>
      <w:numFmt w:val="decimal"/>
      <w:lvlText w:val="%7."/>
      <w:lvlJc w:val="left"/>
      <w:pPr>
        <w:ind w:left="5745" w:hanging="360"/>
      </w:pPr>
    </w:lvl>
    <w:lvl w:ilvl="7" w:tplc="57EED802" w:tentative="1">
      <w:start w:val="1"/>
      <w:numFmt w:val="lowerLetter"/>
      <w:lvlText w:val="%8."/>
      <w:lvlJc w:val="left"/>
      <w:pPr>
        <w:ind w:left="6465" w:hanging="360"/>
      </w:pPr>
    </w:lvl>
    <w:lvl w:ilvl="8" w:tplc="4606D496" w:tentative="1">
      <w:start w:val="1"/>
      <w:numFmt w:val="lowerRoman"/>
      <w:lvlText w:val="%9."/>
      <w:lvlJc w:val="right"/>
      <w:pPr>
        <w:ind w:left="7185" w:hanging="180"/>
      </w:pPr>
    </w:lvl>
  </w:abstractNum>
  <w:abstractNum w:abstractNumId="7" w15:restartNumberingAfterBreak="0">
    <w:nsid w:val="2EBF1335"/>
    <w:multiLevelType w:val="hybridMultilevel"/>
    <w:tmpl w:val="49E09CE8"/>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325D688B"/>
    <w:multiLevelType w:val="hybridMultilevel"/>
    <w:tmpl w:val="FF4462D2"/>
    <w:lvl w:ilvl="0" w:tplc="ED046F6C">
      <w:start w:val="1"/>
      <w:numFmt w:val="decimal"/>
      <w:lvlText w:val="%1)"/>
      <w:lvlJc w:val="left"/>
      <w:pPr>
        <w:ind w:left="720" w:hanging="360"/>
      </w:pPr>
      <w:rPr>
        <w:rFonts w:eastAsia="Calibri"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9A354E"/>
    <w:multiLevelType w:val="multilevel"/>
    <w:tmpl w:val="0415001D"/>
    <w:lvl w:ilvl="0">
      <w:start w:val="1"/>
      <w:numFmt w:val="decimal"/>
      <w:lvlText w:val="%1)"/>
      <w:lvlJc w:val="left"/>
      <w:pPr>
        <w:ind w:left="-705" w:hanging="360"/>
      </w:pPr>
    </w:lvl>
    <w:lvl w:ilvl="1">
      <w:start w:val="1"/>
      <w:numFmt w:val="lowerLetter"/>
      <w:lvlText w:val="%2)"/>
      <w:lvlJc w:val="left"/>
      <w:pPr>
        <w:ind w:left="-345" w:hanging="360"/>
      </w:pPr>
    </w:lvl>
    <w:lvl w:ilvl="2">
      <w:start w:val="1"/>
      <w:numFmt w:val="lowerRoman"/>
      <w:lvlText w:val="%3)"/>
      <w:lvlJc w:val="left"/>
      <w:pPr>
        <w:ind w:left="15" w:hanging="360"/>
      </w:pPr>
    </w:lvl>
    <w:lvl w:ilvl="3">
      <w:start w:val="1"/>
      <w:numFmt w:val="decimal"/>
      <w:lvlText w:val="(%4)"/>
      <w:lvlJc w:val="left"/>
      <w:pPr>
        <w:ind w:left="375" w:hanging="360"/>
      </w:pPr>
    </w:lvl>
    <w:lvl w:ilvl="4">
      <w:start w:val="1"/>
      <w:numFmt w:val="lowerLetter"/>
      <w:lvlText w:val="(%5)"/>
      <w:lvlJc w:val="left"/>
      <w:pPr>
        <w:ind w:left="735" w:hanging="360"/>
      </w:pPr>
    </w:lvl>
    <w:lvl w:ilvl="5">
      <w:start w:val="1"/>
      <w:numFmt w:val="lowerRoman"/>
      <w:lvlText w:val="(%6)"/>
      <w:lvlJc w:val="left"/>
      <w:pPr>
        <w:ind w:left="1095" w:hanging="360"/>
      </w:pPr>
    </w:lvl>
    <w:lvl w:ilvl="6">
      <w:start w:val="1"/>
      <w:numFmt w:val="decimal"/>
      <w:lvlText w:val="%7."/>
      <w:lvlJc w:val="left"/>
      <w:pPr>
        <w:ind w:left="1455" w:hanging="360"/>
      </w:pPr>
    </w:lvl>
    <w:lvl w:ilvl="7">
      <w:start w:val="1"/>
      <w:numFmt w:val="lowerLetter"/>
      <w:lvlText w:val="%8."/>
      <w:lvlJc w:val="left"/>
      <w:pPr>
        <w:ind w:left="1815" w:hanging="360"/>
      </w:pPr>
    </w:lvl>
    <w:lvl w:ilvl="8">
      <w:start w:val="1"/>
      <w:numFmt w:val="lowerRoman"/>
      <w:lvlText w:val="%9."/>
      <w:lvlJc w:val="left"/>
      <w:pPr>
        <w:ind w:left="2175" w:hanging="360"/>
      </w:pPr>
    </w:lvl>
  </w:abstractNum>
  <w:abstractNum w:abstractNumId="10" w15:restartNumberingAfterBreak="0">
    <w:nsid w:val="43887B5A"/>
    <w:multiLevelType w:val="hybridMultilevel"/>
    <w:tmpl w:val="B25632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6D0486"/>
    <w:multiLevelType w:val="hybridMultilevel"/>
    <w:tmpl w:val="F2C2A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712FA0"/>
    <w:multiLevelType w:val="hybridMultilevel"/>
    <w:tmpl w:val="F1F4A7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702A5"/>
    <w:multiLevelType w:val="hybridMultilevel"/>
    <w:tmpl w:val="97089198"/>
    <w:lvl w:ilvl="0" w:tplc="020E326A">
      <w:start w:val="1"/>
      <w:numFmt w:val="decimal"/>
      <w:lvlText w:val="%1."/>
      <w:lvlJc w:val="left"/>
      <w:pPr>
        <w:ind w:left="365" w:hanging="360"/>
      </w:pPr>
      <w:rPr>
        <w:rFonts w:ascii="TimesNewRomanPS-ItalicMT" w:hAnsi="TimesNewRomanPS-ItalicMT" w:cs="TimesNewRomanPS-ItalicMT"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4" w15:restartNumberingAfterBreak="0">
    <w:nsid w:val="657B5B90"/>
    <w:multiLevelType w:val="hybridMultilevel"/>
    <w:tmpl w:val="E8F233D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72D6434E"/>
    <w:multiLevelType w:val="hybridMultilevel"/>
    <w:tmpl w:val="A76EAE90"/>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4BC2D53"/>
    <w:multiLevelType w:val="hybridMultilevel"/>
    <w:tmpl w:val="F1B68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5DF3FF7"/>
    <w:multiLevelType w:val="singleLevel"/>
    <w:tmpl w:val="53881DAA"/>
    <w:lvl w:ilvl="0">
      <w:start w:val="2"/>
      <w:numFmt w:val="decimal"/>
      <w:lvlText w:val="%1."/>
      <w:legacy w:legacy="1" w:legacySpace="0" w:legacyIndent="336"/>
      <w:lvlJc w:val="left"/>
      <w:rPr>
        <w:rFonts w:ascii="Times New Roman" w:hAnsi="Times New Roman" w:cs="Times New Roman" w:hint="default"/>
      </w:rPr>
    </w:lvl>
  </w:abstractNum>
  <w:abstractNum w:abstractNumId="18" w15:restartNumberingAfterBreak="0">
    <w:nsid w:val="7EFB3B47"/>
    <w:multiLevelType w:val="hybridMultilevel"/>
    <w:tmpl w:val="B6BE281C"/>
    <w:lvl w:ilvl="0" w:tplc="C64CF9E0">
      <w:start w:val="1"/>
      <w:numFmt w:val="decimal"/>
      <w:lvlText w:val="%1."/>
      <w:lvlJc w:val="left"/>
      <w:pPr>
        <w:ind w:left="720" w:hanging="360"/>
      </w:pPr>
    </w:lvl>
    <w:lvl w:ilvl="1" w:tplc="AF9447BA" w:tentative="1">
      <w:start w:val="1"/>
      <w:numFmt w:val="lowerLetter"/>
      <w:lvlText w:val="%2."/>
      <w:lvlJc w:val="left"/>
      <w:pPr>
        <w:ind w:left="1440" w:hanging="360"/>
      </w:pPr>
    </w:lvl>
    <w:lvl w:ilvl="2" w:tplc="FA0413F2" w:tentative="1">
      <w:start w:val="1"/>
      <w:numFmt w:val="lowerRoman"/>
      <w:lvlText w:val="%3."/>
      <w:lvlJc w:val="right"/>
      <w:pPr>
        <w:ind w:left="2160" w:hanging="180"/>
      </w:pPr>
    </w:lvl>
    <w:lvl w:ilvl="3" w:tplc="B078726C" w:tentative="1">
      <w:start w:val="1"/>
      <w:numFmt w:val="decimal"/>
      <w:lvlText w:val="%4."/>
      <w:lvlJc w:val="left"/>
      <w:pPr>
        <w:ind w:left="2880" w:hanging="360"/>
      </w:pPr>
    </w:lvl>
    <w:lvl w:ilvl="4" w:tplc="2970F710" w:tentative="1">
      <w:start w:val="1"/>
      <w:numFmt w:val="lowerLetter"/>
      <w:lvlText w:val="%5."/>
      <w:lvlJc w:val="left"/>
      <w:pPr>
        <w:ind w:left="3600" w:hanging="360"/>
      </w:pPr>
    </w:lvl>
    <w:lvl w:ilvl="5" w:tplc="DF184FEE" w:tentative="1">
      <w:start w:val="1"/>
      <w:numFmt w:val="lowerRoman"/>
      <w:lvlText w:val="%6."/>
      <w:lvlJc w:val="right"/>
      <w:pPr>
        <w:ind w:left="4320" w:hanging="180"/>
      </w:pPr>
    </w:lvl>
    <w:lvl w:ilvl="6" w:tplc="EFC27D36" w:tentative="1">
      <w:start w:val="1"/>
      <w:numFmt w:val="decimal"/>
      <w:lvlText w:val="%7."/>
      <w:lvlJc w:val="left"/>
      <w:pPr>
        <w:ind w:left="5040" w:hanging="360"/>
      </w:pPr>
    </w:lvl>
    <w:lvl w:ilvl="7" w:tplc="127454EE" w:tentative="1">
      <w:start w:val="1"/>
      <w:numFmt w:val="lowerLetter"/>
      <w:lvlText w:val="%8."/>
      <w:lvlJc w:val="left"/>
      <w:pPr>
        <w:ind w:left="5760" w:hanging="360"/>
      </w:pPr>
    </w:lvl>
    <w:lvl w:ilvl="8" w:tplc="A4A86D26" w:tentative="1">
      <w:start w:val="1"/>
      <w:numFmt w:val="lowerRoman"/>
      <w:lvlText w:val="%9."/>
      <w:lvlJc w:val="right"/>
      <w:pPr>
        <w:ind w:left="6480" w:hanging="180"/>
      </w:pPr>
    </w:lvl>
  </w:abstractNum>
  <w:abstractNum w:abstractNumId="19" w15:restartNumberingAfterBreak="0">
    <w:nsid w:val="7F8D0AD1"/>
    <w:multiLevelType w:val="hybridMultilevel"/>
    <w:tmpl w:val="A6A2006E"/>
    <w:lvl w:ilvl="0" w:tplc="461864D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9334550">
    <w:abstractNumId w:val="7"/>
  </w:num>
  <w:num w:numId="2" w16cid:durableId="81034179">
    <w:abstractNumId w:val="1"/>
  </w:num>
  <w:num w:numId="3" w16cid:durableId="770780007">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4" w16cid:durableId="686827635">
    <w:abstractNumId w:val="10"/>
  </w:num>
  <w:num w:numId="5" w16cid:durableId="90316275">
    <w:abstractNumId w:val="19"/>
  </w:num>
  <w:num w:numId="6" w16cid:durableId="523522805">
    <w:abstractNumId w:val="13"/>
  </w:num>
  <w:num w:numId="7" w16cid:durableId="979072715">
    <w:abstractNumId w:val="6"/>
  </w:num>
  <w:num w:numId="8" w16cid:durableId="976840967">
    <w:abstractNumId w:val="4"/>
  </w:num>
  <w:num w:numId="9" w16cid:durableId="382564765">
    <w:abstractNumId w:val="2"/>
  </w:num>
  <w:num w:numId="10" w16cid:durableId="1645967157">
    <w:abstractNumId w:val="9"/>
  </w:num>
  <w:num w:numId="11" w16cid:durableId="673264899">
    <w:abstractNumId w:val="18"/>
  </w:num>
  <w:num w:numId="12" w16cid:durableId="1402560886">
    <w:abstractNumId w:val="12"/>
  </w:num>
  <w:num w:numId="13" w16cid:durableId="133332792">
    <w:abstractNumId w:val="15"/>
  </w:num>
  <w:num w:numId="14" w16cid:durableId="1177576201">
    <w:abstractNumId w:val="8"/>
  </w:num>
  <w:num w:numId="15" w16cid:durableId="1606644919">
    <w:abstractNumId w:val="16"/>
  </w:num>
  <w:num w:numId="16" w16cid:durableId="602035201">
    <w:abstractNumId w:val="17"/>
  </w:num>
  <w:num w:numId="17" w16cid:durableId="69281858">
    <w:abstractNumId w:val="3"/>
  </w:num>
  <w:num w:numId="18" w16cid:durableId="646709717">
    <w:abstractNumId w:val="5"/>
  </w:num>
  <w:num w:numId="19" w16cid:durableId="1323970687">
    <w:abstractNumId w:val="14"/>
  </w:num>
  <w:num w:numId="20" w16cid:durableId="18742653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7CC"/>
    <w:rsid w:val="00000DF9"/>
    <w:rsid w:val="00002DFA"/>
    <w:rsid w:val="00002E9B"/>
    <w:rsid w:val="000135C7"/>
    <w:rsid w:val="00013EEA"/>
    <w:rsid w:val="000151F8"/>
    <w:rsid w:val="000170D2"/>
    <w:rsid w:val="0002489E"/>
    <w:rsid w:val="00026FA4"/>
    <w:rsid w:val="00030525"/>
    <w:rsid w:val="0003069D"/>
    <w:rsid w:val="00032CBF"/>
    <w:rsid w:val="0005092C"/>
    <w:rsid w:val="00053496"/>
    <w:rsid w:val="00054341"/>
    <w:rsid w:val="000547C6"/>
    <w:rsid w:val="00056D7D"/>
    <w:rsid w:val="00061E38"/>
    <w:rsid w:val="00071403"/>
    <w:rsid w:val="00072298"/>
    <w:rsid w:val="00073F35"/>
    <w:rsid w:val="000746D7"/>
    <w:rsid w:val="00077ADA"/>
    <w:rsid w:val="00086B84"/>
    <w:rsid w:val="00086D3B"/>
    <w:rsid w:val="00094C9C"/>
    <w:rsid w:val="00096A5B"/>
    <w:rsid w:val="000970A0"/>
    <w:rsid w:val="000A6FDF"/>
    <w:rsid w:val="000B021A"/>
    <w:rsid w:val="000B4DB9"/>
    <w:rsid w:val="000B5E9B"/>
    <w:rsid w:val="000C1D9A"/>
    <w:rsid w:val="000C32A5"/>
    <w:rsid w:val="000D0600"/>
    <w:rsid w:val="000D6056"/>
    <w:rsid w:val="000E1E1A"/>
    <w:rsid w:val="000E3DB3"/>
    <w:rsid w:val="000E64DF"/>
    <w:rsid w:val="000F04A6"/>
    <w:rsid w:val="000F1C7F"/>
    <w:rsid w:val="000F2919"/>
    <w:rsid w:val="000F47D2"/>
    <w:rsid w:val="00100A9C"/>
    <w:rsid w:val="00101720"/>
    <w:rsid w:val="0010557D"/>
    <w:rsid w:val="00107AE1"/>
    <w:rsid w:val="00111EBC"/>
    <w:rsid w:val="00115258"/>
    <w:rsid w:val="001174DE"/>
    <w:rsid w:val="00123BB8"/>
    <w:rsid w:val="001279A2"/>
    <w:rsid w:val="00127A7A"/>
    <w:rsid w:val="00134E71"/>
    <w:rsid w:val="001455A2"/>
    <w:rsid w:val="00145A32"/>
    <w:rsid w:val="00153FFB"/>
    <w:rsid w:val="00157C54"/>
    <w:rsid w:val="00161CB6"/>
    <w:rsid w:val="0016232E"/>
    <w:rsid w:val="00166EE7"/>
    <w:rsid w:val="001841A7"/>
    <w:rsid w:val="001846CA"/>
    <w:rsid w:val="0018582A"/>
    <w:rsid w:val="00185C92"/>
    <w:rsid w:val="001877CC"/>
    <w:rsid w:val="00192115"/>
    <w:rsid w:val="001945C0"/>
    <w:rsid w:val="00194874"/>
    <w:rsid w:val="00195DC9"/>
    <w:rsid w:val="0019689D"/>
    <w:rsid w:val="001A4ED6"/>
    <w:rsid w:val="001A6AE5"/>
    <w:rsid w:val="001B24CB"/>
    <w:rsid w:val="001B36AB"/>
    <w:rsid w:val="001C0E40"/>
    <w:rsid w:val="001C240D"/>
    <w:rsid w:val="001C312F"/>
    <w:rsid w:val="001D18F5"/>
    <w:rsid w:val="001E2701"/>
    <w:rsid w:val="001F7276"/>
    <w:rsid w:val="00200C94"/>
    <w:rsid w:val="002017AD"/>
    <w:rsid w:val="00201BE9"/>
    <w:rsid w:val="00201F10"/>
    <w:rsid w:val="002064AA"/>
    <w:rsid w:val="00211643"/>
    <w:rsid w:val="002129B8"/>
    <w:rsid w:val="002173B8"/>
    <w:rsid w:val="002175CF"/>
    <w:rsid w:val="002213D5"/>
    <w:rsid w:val="00223C61"/>
    <w:rsid w:val="002259F0"/>
    <w:rsid w:val="002319C2"/>
    <w:rsid w:val="002333B9"/>
    <w:rsid w:val="00234FC4"/>
    <w:rsid w:val="00235A7D"/>
    <w:rsid w:val="0024678C"/>
    <w:rsid w:val="0025513D"/>
    <w:rsid w:val="002571CB"/>
    <w:rsid w:val="00263BBD"/>
    <w:rsid w:val="00266CA9"/>
    <w:rsid w:val="00270B78"/>
    <w:rsid w:val="002800AC"/>
    <w:rsid w:val="002817AB"/>
    <w:rsid w:val="00282F7B"/>
    <w:rsid w:val="00284761"/>
    <w:rsid w:val="002850D2"/>
    <w:rsid w:val="002941EC"/>
    <w:rsid w:val="00294F95"/>
    <w:rsid w:val="002966BF"/>
    <w:rsid w:val="002A0F3B"/>
    <w:rsid w:val="002A6501"/>
    <w:rsid w:val="002A6FCF"/>
    <w:rsid w:val="002D22AC"/>
    <w:rsid w:val="002D5FBC"/>
    <w:rsid w:val="002E1FF2"/>
    <w:rsid w:val="002E2621"/>
    <w:rsid w:val="002E6D6B"/>
    <w:rsid w:val="002F02B9"/>
    <w:rsid w:val="002F1322"/>
    <w:rsid w:val="002F7896"/>
    <w:rsid w:val="0030053F"/>
    <w:rsid w:val="00302286"/>
    <w:rsid w:val="00304300"/>
    <w:rsid w:val="00316AF6"/>
    <w:rsid w:val="00317009"/>
    <w:rsid w:val="00322CE6"/>
    <w:rsid w:val="00324203"/>
    <w:rsid w:val="00325A4A"/>
    <w:rsid w:val="00332CD1"/>
    <w:rsid w:val="00335DA6"/>
    <w:rsid w:val="003435F5"/>
    <w:rsid w:val="00345230"/>
    <w:rsid w:val="00345606"/>
    <w:rsid w:val="00345F59"/>
    <w:rsid w:val="003530D9"/>
    <w:rsid w:val="00355690"/>
    <w:rsid w:val="00355E2C"/>
    <w:rsid w:val="0035711E"/>
    <w:rsid w:val="0036338E"/>
    <w:rsid w:val="00371DB3"/>
    <w:rsid w:val="003738F9"/>
    <w:rsid w:val="0037738A"/>
    <w:rsid w:val="003853E0"/>
    <w:rsid w:val="00386FAA"/>
    <w:rsid w:val="00391B06"/>
    <w:rsid w:val="0039775B"/>
    <w:rsid w:val="003A668E"/>
    <w:rsid w:val="003A7656"/>
    <w:rsid w:val="003B4ABB"/>
    <w:rsid w:val="003B6576"/>
    <w:rsid w:val="003C1F80"/>
    <w:rsid w:val="003C32F0"/>
    <w:rsid w:val="003C49F2"/>
    <w:rsid w:val="003C649A"/>
    <w:rsid w:val="003D00D2"/>
    <w:rsid w:val="003D14D2"/>
    <w:rsid w:val="003D1E0A"/>
    <w:rsid w:val="003D494A"/>
    <w:rsid w:val="003D650A"/>
    <w:rsid w:val="003E23E3"/>
    <w:rsid w:val="003E2DCD"/>
    <w:rsid w:val="003E4C4D"/>
    <w:rsid w:val="003E79C8"/>
    <w:rsid w:val="003F7674"/>
    <w:rsid w:val="003F78CA"/>
    <w:rsid w:val="0041013B"/>
    <w:rsid w:val="004111DD"/>
    <w:rsid w:val="00415145"/>
    <w:rsid w:val="0041632C"/>
    <w:rsid w:val="00417CAC"/>
    <w:rsid w:val="004228DD"/>
    <w:rsid w:val="00423A58"/>
    <w:rsid w:val="00425082"/>
    <w:rsid w:val="0042558E"/>
    <w:rsid w:val="00426D6B"/>
    <w:rsid w:val="0043143F"/>
    <w:rsid w:val="00433736"/>
    <w:rsid w:val="00444F5E"/>
    <w:rsid w:val="00453BAF"/>
    <w:rsid w:val="004560C9"/>
    <w:rsid w:val="00457DA1"/>
    <w:rsid w:val="00463C08"/>
    <w:rsid w:val="00480C18"/>
    <w:rsid w:val="00483339"/>
    <w:rsid w:val="004912A4"/>
    <w:rsid w:val="0049406C"/>
    <w:rsid w:val="004A625B"/>
    <w:rsid w:val="004B3EE8"/>
    <w:rsid w:val="004B4B8D"/>
    <w:rsid w:val="004B5CCD"/>
    <w:rsid w:val="004C0857"/>
    <w:rsid w:val="004C20E4"/>
    <w:rsid w:val="004C2313"/>
    <w:rsid w:val="004C4551"/>
    <w:rsid w:val="004C6152"/>
    <w:rsid w:val="004D5581"/>
    <w:rsid w:val="004D5D1C"/>
    <w:rsid w:val="004D5DB2"/>
    <w:rsid w:val="004E1637"/>
    <w:rsid w:val="004E3A40"/>
    <w:rsid w:val="004E4A97"/>
    <w:rsid w:val="004E4FEA"/>
    <w:rsid w:val="004E62AE"/>
    <w:rsid w:val="004F08E0"/>
    <w:rsid w:val="004F47E2"/>
    <w:rsid w:val="00502467"/>
    <w:rsid w:val="00502C80"/>
    <w:rsid w:val="00503282"/>
    <w:rsid w:val="005059B8"/>
    <w:rsid w:val="0050657C"/>
    <w:rsid w:val="0051119A"/>
    <w:rsid w:val="00513982"/>
    <w:rsid w:val="00514A41"/>
    <w:rsid w:val="0051632D"/>
    <w:rsid w:val="00524E9B"/>
    <w:rsid w:val="00525AC9"/>
    <w:rsid w:val="00532012"/>
    <w:rsid w:val="00534FDF"/>
    <w:rsid w:val="00551122"/>
    <w:rsid w:val="00561EEC"/>
    <w:rsid w:val="00575E54"/>
    <w:rsid w:val="0058094B"/>
    <w:rsid w:val="00582F06"/>
    <w:rsid w:val="00585776"/>
    <w:rsid w:val="0058661E"/>
    <w:rsid w:val="005909D8"/>
    <w:rsid w:val="00593F16"/>
    <w:rsid w:val="005A12F9"/>
    <w:rsid w:val="005A6621"/>
    <w:rsid w:val="005B12F2"/>
    <w:rsid w:val="005C7E3A"/>
    <w:rsid w:val="005D1265"/>
    <w:rsid w:val="005D190E"/>
    <w:rsid w:val="005D1B05"/>
    <w:rsid w:val="005E2C4D"/>
    <w:rsid w:val="005E5F62"/>
    <w:rsid w:val="005F2722"/>
    <w:rsid w:val="005F3457"/>
    <w:rsid w:val="005F7072"/>
    <w:rsid w:val="005F749F"/>
    <w:rsid w:val="005F7F84"/>
    <w:rsid w:val="00603AE3"/>
    <w:rsid w:val="00603BDA"/>
    <w:rsid w:val="006044CB"/>
    <w:rsid w:val="00610989"/>
    <w:rsid w:val="006213EF"/>
    <w:rsid w:val="0062255B"/>
    <w:rsid w:val="00624EC8"/>
    <w:rsid w:val="00624F62"/>
    <w:rsid w:val="00627ADB"/>
    <w:rsid w:val="0063145B"/>
    <w:rsid w:val="00631917"/>
    <w:rsid w:val="00635755"/>
    <w:rsid w:val="0063632F"/>
    <w:rsid w:val="00642ED3"/>
    <w:rsid w:val="006437BF"/>
    <w:rsid w:val="00643A57"/>
    <w:rsid w:val="00643DE5"/>
    <w:rsid w:val="00646964"/>
    <w:rsid w:val="00646A41"/>
    <w:rsid w:val="0064705D"/>
    <w:rsid w:val="006557C2"/>
    <w:rsid w:val="00664258"/>
    <w:rsid w:val="0066695E"/>
    <w:rsid w:val="00671522"/>
    <w:rsid w:val="006724A4"/>
    <w:rsid w:val="00672D03"/>
    <w:rsid w:val="00673234"/>
    <w:rsid w:val="006735C7"/>
    <w:rsid w:val="00673DBE"/>
    <w:rsid w:val="006816E0"/>
    <w:rsid w:val="006875AC"/>
    <w:rsid w:val="00691066"/>
    <w:rsid w:val="006A23F9"/>
    <w:rsid w:val="006B079A"/>
    <w:rsid w:val="006B0F2E"/>
    <w:rsid w:val="006B398F"/>
    <w:rsid w:val="006B5B64"/>
    <w:rsid w:val="006C0090"/>
    <w:rsid w:val="006E1DD1"/>
    <w:rsid w:val="006F12C8"/>
    <w:rsid w:val="00700EA4"/>
    <w:rsid w:val="00710470"/>
    <w:rsid w:val="00710913"/>
    <w:rsid w:val="00712467"/>
    <w:rsid w:val="0072556D"/>
    <w:rsid w:val="00726B2C"/>
    <w:rsid w:val="007270D1"/>
    <w:rsid w:val="00731B6F"/>
    <w:rsid w:val="00732BCC"/>
    <w:rsid w:val="00735AB8"/>
    <w:rsid w:val="00735AE4"/>
    <w:rsid w:val="00736AB6"/>
    <w:rsid w:val="007477F2"/>
    <w:rsid w:val="00751160"/>
    <w:rsid w:val="00751A3C"/>
    <w:rsid w:val="00752F71"/>
    <w:rsid w:val="00765BCD"/>
    <w:rsid w:val="007747F0"/>
    <w:rsid w:val="0077661F"/>
    <w:rsid w:val="00784BE3"/>
    <w:rsid w:val="007867A6"/>
    <w:rsid w:val="00787458"/>
    <w:rsid w:val="00791BD4"/>
    <w:rsid w:val="007A222A"/>
    <w:rsid w:val="007A2A25"/>
    <w:rsid w:val="007A4D3F"/>
    <w:rsid w:val="007C2CEA"/>
    <w:rsid w:val="007C4442"/>
    <w:rsid w:val="007C694A"/>
    <w:rsid w:val="007C709C"/>
    <w:rsid w:val="007D2118"/>
    <w:rsid w:val="007D3406"/>
    <w:rsid w:val="007D7906"/>
    <w:rsid w:val="007D7959"/>
    <w:rsid w:val="007D79A5"/>
    <w:rsid w:val="007D7E47"/>
    <w:rsid w:val="007E1C53"/>
    <w:rsid w:val="007E39D7"/>
    <w:rsid w:val="007F06FE"/>
    <w:rsid w:val="0080569D"/>
    <w:rsid w:val="00805F3C"/>
    <w:rsid w:val="00811924"/>
    <w:rsid w:val="00812523"/>
    <w:rsid w:val="0081654D"/>
    <w:rsid w:val="008229D8"/>
    <w:rsid w:val="00826176"/>
    <w:rsid w:val="00830952"/>
    <w:rsid w:val="008322C0"/>
    <w:rsid w:val="0084343B"/>
    <w:rsid w:val="00866547"/>
    <w:rsid w:val="00870E95"/>
    <w:rsid w:val="00872F74"/>
    <w:rsid w:val="00874276"/>
    <w:rsid w:val="008843CD"/>
    <w:rsid w:val="0089749A"/>
    <w:rsid w:val="008A0D8B"/>
    <w:rsid w:val="008A7A63"/>
    <w:rsid w:val="008B2CD7"/>
    <w:rsid w:val="008B3410"/>
    <w:rsid w:val="008B5F27"/>
    <w:rsid w:val="008C7EDD"/>
    <w:rsid w:val="008D74A2"/>
    <w:rsid w:val="008D7CB0"/>
    <w:rsid w:val="008E11F1"/>
    <w:rsid w:val="008E1560"/>
    <w:rsid w:val="008E6E3B"/>
    <w:rsid w:val="008F6CFB"/>
    <w:rsid w:val="008F6DA2"/>
    <w:rsid w:val="00900268"/>
    <w:rsid w:val="00901077"/>
    <w:rsid w:val="00901207"/>
    <w:rsid w:val="009027FB"/>
    <w:rsid w:val="009070AA"/>
    <w:rsid w:val="0091547E"/>
    <w:rsid w:val="00916601"/>
    <w:rsid w:val="00916966"/>
    <w:rsid w:val="00916BF3"/>
    <w:rsid w:val="009251F2"/>
    <w:rsid w:val="00925AFE"/>
    <w:rsid w:val="00930597"/>
    <w:rsid w:val="00933548"/>
    <w:rsid w:val="00941829"/>
    <w:rsid w:val="009426BB"/>
    <w:rsid w:val="009502E2"/>
    <w:rsid w:val="009505A8"/>
    <w:rsid w:val="009557F2"/>
    <w:rsid w:val="0096388A"/>
    <w:rsid w:val="0097265F"/>
    <w:rsid w:val="009738E6"/>
    <w:rsid w:val="00976A82"/>
    <w:rsid w:val="0098080D"/>
    <w:rsid w:val="00981658"/>
    <w:rsid w:val="009823D6"/>
    <w:rsid w:val="00990C67"/>
    <w:rsid w:val="00995679"/>
    <w:rsid w:val="00997833"/>
    <w:rsid w:val="009A548E"/>
    <w:rsid w:val="009A6DAA"/>
    <w:rsid w:val="009B3692"/>
    <w:rsid w:val="009B3DA0"/>
    <w:rsid w:val="009C4434"/>
    <w:rsid w:val="009C6440"/>
    <w:rsid w:val="009C6BF4"/>
    <w:rsid w:val="009D26B7"/>
    <w:rsid w:val="009D30DB"/>
    <w:rsid w:val="009D56F0"/>
    <w:rsid w:val="009D5EAE"/>
    <w:rsid w:val="009E033C"/>
    <w:rsid w:val="009E1C15"/>
    <w:rsid w:val="009E5B1A"/>
    <w:rsid w:val="009E76D8"/>
    <w:rsid w:val="009F3955"/>
    <w:rsid w:val="00A00623"/>
    <w:rsid w:val="00A10FA2"/>
    <w:rsid w:val="00A13CCD"/>
    <w:rsid w:val="00A1658E"/>
    <w:rsid w:val="00A22A10"/>
    <w:rsid w:val="00A22B75"/>
    <w:rsid w:val="00A2445E"/>
    <w:rsid w:val="00A26DD5"/>
    <w:rsid w:val="00A30914"/>
    <w:rsid w:val="00A312ED"/>
    <w:rsid w:val="00A362A8"/>
    <w:rsid w:val="00A41365"/>
    <w:rsid w:val="00A42FC0"/>
    <w:rsid w:val="00A4516F"/>
    <w:rsid w:val="00A46D52"/>
    <w:rsid w:val="00A50122"/>
    <w:rsid w:val="00A65B9E"/>
    <w:rsid w:val="00A67133"/>
    <w:rsid w:val="00A72203"/>
    <w:rsid w:val="00A8040D"/>
    <w:rsid w:val="00A826AE"/>
    <w:rsid w:val="00A84402"/>
    <w:rsid w:val="00A84A75"/>
    <w:rsid w:val="00A84FDA"/>
    <w:rsid w:val="00A86E7B"/>
    <w:rsid w:val="00A87427"/>
    <w:rsid w:val="00AB6C30"/>
    <w:rsid w:val="00AB6FD8"/>
    <w:rsid w:val="00AC2812"/>
    <w:rsid w:val="00AC5E40"/>
    <w:rsid w:val="00AD6C4E"/>
    <w:rsid w:val="00AF6AF4"/>
    <w:rsid w:val="00B07DF6"/>
    <w:rsid w:val="00B12B76"/>
    <w:rsid w:val="00B177B6"/>
    <w:rsid w:val="00B20410"/>
    <w:rsid w:val="00B20D9B"/>
    <w:rsid w:val="00B233E9"/>
    <w:rsid w:val="00B25886"/>
    <w:rsid w:val="00B261E2"/>
    <w:rsid w:val="00B31ED9"/>
    <w:rsid w:val="00B359E6"/>
    <w:rsid w:val="00B36F5F"/>
    <w:rsid w:val="00B416FD"/>
    <w:rsid w:val="00B42A3C"/>
    <w:rsid w:val="00B43BC0"/>
    <w:rsid w:val="00B461D0"/>
    <w:rsid w:val="00B52806"/>
    <w:rsid w:val="00B53B6A"/>
    <w:rsid w:val="00B567C2"/>
    <w:rsid w:val="00B60F3C"/>
    <w:rsid w:val="00B62B38"/>
    <w:rsid w:val="00B70A74"/>
    <w:rsid w:val="00B721D7"/>
    <w:rsid w:val="00B72DFE"/>
    <w:rsid w:val="00B8104B"/>
    <w:rsid w:val="00B81A6B"/>
    <w:rsid w:val="00B85614"/>
    <w:rsid w:val="00B96A14"/>
    <w:rsid w:val="00BA042A"/>
    <w:rsid w:val="00BA2CE7"/>
    <w:rsid w:val="00BA4281"/>
    <w:rsid w:val="00BA716F"/>
    <w:rsid w:val="00BC2301"/>
    <w:rsid w:val="00BC419F"/>
    <w:rsid w:val="00BC6A2D"/>
    <w:rsid w:val="00BD5C4B"/>
    <w:rsid w:val="00BE03FD"/>
    <w:rsid w:val="00BE10C2"/>
    <w:rsid w:val="00BE29B1"/>
    <w:rsid w:val="00BE343B"/>
    <w:rsid w:val="00BE5C8E"/>
    <w:rsid w:val="00BE7DA3"/>
    <w:rsid w:val="00BF50BB"/>
    <w:rsid w:val="00BF6D98"/>
    <w:rsid w:val="00C02452"/>
    <w:rsid w:val="00C03208"/>
    <w:rsid w:val="00C046D2"/>
    <w:rsid w:val="00C0528E"/>
    <w:rsid w:val="00C11C6E"/>
    <w:rsid w:val="00C260D8"/>
    <w:rsid w:val="00C26634"/>
    <w:rsid w:val="00C2728F"/>
    <w:rsid w:val="00C3241F"/>
    <w:rsid w:val="00C36277"/>
    <w:rsid w:val="00C460ED"/>
    <w:rsid w:val="00C52883"/>
    <w:rsid w:val="00C5405C"/>
    <w:rsid w:val="00C61DDD"/>
    <w:rsid w:val="00C64EC7"/>
    <w:rsid w:val="00C651CE"/>
    <w:rsid w:val="00C72891"/>
    <w:rsid w:val="00C73EE1"/>
    <w:rsid w:val="00C756E4"/>
    <w:rsid w:val="00C77933"/>
    <w:rsid w:val="00C87874"/>
    <w:rsid w:val="00C9033E"/>
    <w:rsid w:val="00C91075"/>
    <w:rsid w:val="00C91E12"/>
    <w:rsid w:val="00C96274"/>
    <w:rsid w:val="00CA22B7"/>
    <w:rsid w:val="00CA2FA2"/>
    <w:rsid w:val="00CA307F"/>
    <w:rsid w:val="00CA4ABE"/>
    <w:rsid w:val="00CA59E8"/>
    <w:rsid w:val="00CB564F"/>
    <w:rsid w:val="00CB74FD"/>
    <w:rsid w:val="00CC1A15"/>
    <w:rsid w:val="00CC492A"/>
    <w:rsid w:val="00CC75CB"/>
    <w:rsid w:val="00CD396C"/>
    <w:rsid w:val="00CD6D99"/>
    <w:rsid w:val="00CD6FCF"/>
    <w:rsid w:val="00CE3E65"/>
    <w:rsid w:val="00CE7FED"/>
    <w:rsid w:val="00CF10A7"/>
    <w:rsid w:val="00CF5B7E"/>
    <w:rsid w:val="00D00028"/>
    <w:rsid w:val="00D000F8"/>
    <w:rsid w:val="00D00FD5"/>
    <w:rsid w:val="00D0354E"/>
    <w:rsid w:val="00D24271"/>
    <w:rsid w:val="00D264E6"/>
    <w:rsid w:val="00D32E57"/>
    <w:rsid w:val="00D33C98"/>
    <w:rsid w:val="00D37F1E"/>
    <w:rsid w:val="00D41842"/>
    <w:rsid w:val="00D440FF"/>
    <w:rsid w:val="00D46BC3"/>
    <w:rsid w:val="00D470B2"/>
    <w:rsid w:val="00D47F37"/>
    <w:rsid w:val="00D509D4"/>
    <w:rsid w:val="00D50D56"/>
    <w:rsid w:val="00D528FD"/>
    <w:rsid w:val="00D60AE7"/>
    <w:rsid w:val="00D61B05"/>
    <w:rsid w:val="00D626D6"/>
    <w:rsid w:val="00D72E0A"/>
    <w:rsid w:val="00D72FF7"/>
    <w:rsid w:val="00D75434"/>
    <w:rsid w:val="00D82AB0"/>
    <w:rsid w:val="00D8378E"/>
    <w:rsid w:val="00D837EC"/>
    <w:rsid w:val="00D8530A"/>
    <w:rsid w:val="00D8612B"/>
    <w:rsid w:val="00D90EEB"/>
    <w:rsid w:val="00D934A6"/>
    <w:rsid w:val="00D97A77"/>
    <w:rsid w:val="00DB035E"/>
    <w:rsid w:val="00DB0BB0"/>
    <w:rsid w:val="00DB2AC5"/>
    <w:rsid w:val="00DB4136"/>
    <w:rsid w:val="00DB44A0"/>
    <w:rsid w:val="00DB5A1A"/>
    <w:rsid w:val="00DB6C21"/>
    <w:rsid w:val="00DC2181"/>
    <w:rsid w:val="00DC5F73"/>
    <w:rsid w:val="00DD125D"/>
    <w:rsid w:val="00DD3E4D"/>
    <w:rsid w:val="00DD7D05"/>
    <w:rsid w:val="00DE2FF2"/>
    <w:rsid w:val="00DE34B2"/>
    <w:rsid w:val="00DE702E"/>
    <w:rsid w:val="00DF2163"/>
    <w:rsid w:val="00DF2944"/>
    <w:rsid w:val="00DF3C9B"/>
    <w:rsid w:val="00DF3E19"/>
    <w:rsid w:val="00DF62B0"/>
    <w:rsid w:val="00DF6B7E"/>
    <w:rsid w:val="00E04BF6"/>
    <w:rsid w:val="00E15552"/>
    <w:rsid w:val="00E15848"/>
    <w:rsid w:val="00E2057A"/>
    <w:rsid w:val="00E32AC7"/>
    <w:rsid w:val="00E34105"/>
    <w:rsid w:val="00E355B4"/>
    <w:rsid w:val="00E35FAE"/>
    <w:rsid w:val="00E44396"/>
    <w:rsid w:val="00E44F98"/>
    <w:rsid w:val="00E4515A"/>
    <w:rsid w:val="00E47F13"/>
    <w:rsid w:val="00E570B2"/>
    <w:rsid w:val="00E623B8"/>
    <w:rsid w:val="00E65FFF"/>
    <w:rsid w:val="00E66D58"/>
    <w:rsid w:val="00E730C9"/>
    <w:rsid w:val="00E7355B"/>
    <w:rsid w:val="00E80787"/>
    <w:rsid w:val="00E83266"/>
    <w:rsid w:val="00E910C9"/>
    <w:rsid w:val="00E93D97"/>
    <w:rsid w:val="00E97B2F"/>
    <w:rsid w:val="00EA183D"/>
    <w:rsid w:val="00EA4728"/>
    <w:rsid w:val="00EB01DA"/>
    <w:rsid w:val="00EB09EB"/>
    <w:rsid w:val="00EB40FD"/>
    <w:rsid w:val="00EC27E1"/>
    <w:rsid w:val="00ED08DA"/>
    <w:rsid w:val="00ED3225"/>
    <w:rsid w:val="00EE7048"/>
    <w:rsid w:val="00EF247D"/>
    <w:rsid w:val="00EF729A"/>
    <w:rsid w:val="00EF7845"/>
    <w:rsid w:val="00F02AEE"/>
    <w:rsid w:val="00F106FE"/>
    <w:rsid w:val="00F140DA"/>
    <w:rsid w:val="00F15E3F"/>
    <w:rsid w:val="00F17B67"/>
    <w:rsid w:val="00F22112"/>
    <w:rsid w:val="00F24629"/>
    <w:rsid w:val="00F24632"/>
    <w:rsid w:val="00F32860"/>
    <w:rsid w:val="00F33DAA"/>
    <w:rsid w:val="00F407AA"/>
    <w:rsid w:val="00F4089C"/>
    <w:rsid w:val="00F41ACA"/>
    <w:rsid w:val="00F46E3B"/>
    <w:rsid w:val="00F51AEA"/>
    <w:rsid w:val="00F53E36"/>
    <w:rsid w:val="00F53F70"/>
    <w:rsid w:val="00F715B1"/>
    <w:rsid w:val="00F73B56"/>
    <w:rsid w:val="00F755CD"/>
    <w:rsid w:val="00F7675E"/>
    <w:rsid w:val="00F76A45"/>
    <w:rsid w:val="00F77FFD"/>
    <w:rsid w:val="00F80273"/>
    <w:rsid w:val="00F815DB"/>
    <w:rsid w:val="00F87309"/>
    <w:rsid w:val="00F9089A"/>
    <w:rsid w:val="00F940F7"/>
    <w:rsid w:val="00F969A0"/>
    <w:rsid w:val="00F978BD"/>
    <w:rsid w:val="00FC2556"/>
    <w:rsid w:val="00FC4899"/>
    <w:rsid w:val="00FC5963"/>
    <w:rsid w:val="00FD223B"/>
    <w:rsid w:val="00FD25F3"/>
    <w:rsid w:val="00FD5FD8"/>
    <w:rsid w:val="00FD6AB2"/>
    <w:rsid w:val="00FE158B"/>
    <w:rsid w:val="00FE1651"/>
    <w:rsid w:val="00FE7A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E464E"/>
  <w15:docId w15:val="{8546EEA3-A69E-4BAA-B6C6-5B49520F0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7C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24">
    <w:name w:val="Font Style24"/>
    <w:uiPriority w:val="99"/>
    <w:rsid w:val="001877CC"/>
    <w:rPr>
      <w:rFonts w:ascii="Arial Narrow" w:hAnsi="Arial Narrow" w:cs="Arial Narrow" w:hint="default"/>
      <w:i/>
      <w:iCs/>
      <w:spacing w:val="20"/>
      <w:sz w:val="18"/>
      <w:szCs w:val="18"/>
    </w:rPr>
  </w:style>
  <w:style w:type="character" w:customStyle="1" w:styleId="FontStyle25">
    <w:name w:val="Font Style25"/>
    <w:uiPriority w:val="99"/>
    <w:rsid w:val="001877CC"/>
    <w:rPr>
      <w:rFonts w:ascii="Garamond" w:hAnsi="Garamond" w:cs="Garamond"/>
      <w:i/>
      <w:iCs/>
      <w:sz w:val="26"/>
      <w:szCs w:val="26"/>
    </w:rPr>
  </w:style>
  <w:style w:type="paragraph" w:customStyle="1" w:styleId="Style6">
    <w:name w:val="Style6"/>
    <w:basedOn w:val="Normalny"/>
    <w:uiPriority w:val="99"/>
    <w:rsid w:val="001877CC"/>
    <w:pPr>
      <w:widowControl w:val="0"/>
      <w:autoSpaceDE w:val="0"/>
      <w:autoSpaceDN w:val="0"/>
      <w:adjustRightInd w:val="0"/>
      <w:spacing w:line="385" w:lineRule="exact"/>
    </w:pPr>
    <w:rPr>
      <w:rFonts w:ascii="Trebuchet MS" w:hAnsi="Trebuchet MS"/>
    </w:rPr>
  </w:style>
  <w:style w:type="paragraph" w:customStyle="1" w:styleId="Style11">
    <w:name w:val="Style11"/>
    <w:basedOn w:val="Normalny"/>
    <w:uiPriority w:val="99"/>
    <w:rsid w:val="001877CC"/>
    <w:pPr>
      <w:widowControl w:val="0"/>
      <w:autoSpaceDE w:val="0"/>
      <w:autoSpaceDN w:val="0"/>
      <w:adjustRightInd w:val="0"/>
      <w:spacing w:line="392" w:lineRule="exact"/>
      <w:jc w:val="both"/>
    </w:pPr>
    <w:rPr>
      <w:rFonts w:ascii="Trebuchet MS" w:hAnsi="Trebuchet MS"/>
    </w:rPr>
  </w:style>
  <w:style w:type="paragraph" w:customStyle="1" w:styleId="Style8">
    <w:name w:val="Style8"/>
    <w:basedOn w:val="Normalny"/>
    <w:uiPriority w:val="99"/>
    <w:rsid w:val="001877CC"/>
    <w:pPr>
      <w:widowControl w:val="0"/>
      <w:autoSpaceDE w:val="0"/>
      <w:autoSpaceDN w:val="0"/>
      <w:adjustRightInd w:val="0"/>
      <w:spacing w:line="382" w:lineRule="exact"/>
      <w:jc w:val="both"/>
    </w:pPr>
    <w:rPr>
      <w:rFonts w:ascii="Trebuchet MS" w:hAnsi="Trebuchet MS"/>
    </w:rPr>
  </w:style>
  <w:style w:type="paragraph" w:customStyle="1" w:styleId="Style9">
    <w:name w:val="Style9"/>
    <w:basedOn w:val="Normalny"/>
    <w:uiPriority w:val="99"/>
    <w:rsid w:val="001877CC"/>
    <w:pPr>
      <w:widowControl w:val="0"/>
      <w:autoSpaceDE w:val="0"/>
      <w:autoSpaceDN w:val="0"/>
      <w:adjustRightInd w:val="0"/>
      <w:spacing w:line="415" w:lineRule="exact"/>
      <w:ind w:firstLine="720"/>
      <w:jc w:val="both"/>
    </w:pPr>
  </w:style>
  <w:style w:type="character" w:customStyle="1" w:styleId="FontStyle16">
    <w:name w:val="Font Style16"/>
    <w:uiPriority w:val="99"/>
    <w:rsid w:val="001877CC"/>
    <w:rPr>
      <w:rFonts w:ascii="Times New Roman" w:hAnsi="Times New Roman" w:cs="Times New Roman"/>
      <w:sz w:val="22"/>
      <w:szCs w:val="22"/>
    </w:rPr>
  </w:style>
  <w:style w:type="paragraph" w:customStyle="1" w:styleId="Style10">
    <w:name w:val="Style10"/>
    <w:basedOn w:val="Normalny"/>
    <w:uiPriority w:val="99"/>
    <w:rsid w:val="001877CC"/>
    <w:pPr>
      <w:widowControl w:val="0"/>
      <w:autoSpaceDE w:val="0"/>
      <w:autoSpaceDN w:val="0"/>
      <w:adjustRightInd w:val="0"/>
      <w:spacing w:line="396" w:lineRule="exact"/>
      <w:ind w:hanging="360"/>
      <w:jc w:val="both"/>
    </w:pPr>
    <w:rPr>
      <w:rFonts w:ascii="Tahoma" w:hAnsi="Tahoma" w:cs="Tahoma"/>
    </w:rPr>
  </w:style>
  <w:style w:type="character" w:customStyle="1" w:styleId="FontStyle21">
    <w:name w:val="Font Style21"/>
    <w:basedOn w:val="Domylnaczcionkaakapitu"/>
    <w:uiPriority w:val="99"/>
    <w:rsid w:val="001877CC"/>
    <w:rPr>
      <w:rFonts w:ascii="Times New Roman" w:hAnsi="Times New Roman" w:cs="Times New Roman"/>
      <w:sz w:val="22"/>
      <w:szCs w:val="22"/>
    </w:rPr>
  </w:style>
  <w:style w:type="paragraph" w:customStyle="1" w:styleId="Style14">
    <w:name w:val="Style14"/>
    <w:basedOn w:val="Normalny"/>
    <w:uiPriority w:val="99"/>
    <w:rsid w:val="001877CC"/>
    <w:pPr>
      <w:widowControl w:val="0"/>
      <w:autoSpaceDE w:val="0"/>
      <w:autoSpaceDN w:val="0"/>
      <w:adjustRightInd w:val="0"/>
      <w:spacing w:line="367" w:lineRule="exact"/>
      <w:ind w:firstLine="540"/>
      <w:jc w:val="both"/>
    </w:pPr>
    <w:rPr>
      <w:rFonts w:eastAsiaTheme="minorEastAsia"/>
    </w:rPr>
  </w:style>
  <w:style w:type="character" w:customStyle="1" w:styleId="FontStyle18">
    <w:name w:val="Font Style18"/>
    <w:basedOn w:val="Domylnaczcionkaakapitu"/>
    <w:uiPriority w:val="99"/>
    <w:rsid w:val="001877CC"/>
    <w:rPr>
      <w:rFonts w:ascii="Times New Roman" w:hAnsi="Times New Roman" w:cs="Times New Roman"/>
      <w:b/>
      <w:bCs/>
      <w:sz w:val="16"/>
      <w:szCs w:val="16"/>
    </w:rPr>
  </w:style>
  <w:style w:type="character" w:customStyle="1" w:styleId="FontStyle19">
    <w:name w:val="Font Style19"/>
    <w:basedOn w:val="Domylnaczcionkaakapitu"/>
    <w:uiPriority w:val="99"/>
    <w:rsid w:val="001877CC"/>
    <w:rPr>
      <w:rFonts w:ascii="Times New Roman" w:hAnsi="Times New Roman" w:cs="Times New Roman"/>
      <w:b/>
      <w:bCs/>
      <w:i/>
      <w:iCs/>
      <w:sz w:val="20"/>
      <w:szCs w:val="20"/>
    </w:rPr>
  </w:style>
  <w:style w:type="character" w:customStyle="1" w:styleId="Ppogrubienie">
    <w:name w:val="_P_ – pogrubienie"/>
    <w:basedOn w:val="Domylnaczcionkaakapitu"/>
    <w:uiPriority w:val="1"/>
    <w:qFormat/>
    <w:rsid w:val="001877CC"/>
    <w:rPr>
      <w:b/>
    </w:rPr>
  </w:style>
  <w:style w:type="paragraph" w:customStyle="1" w:styleId="Style7">
    <w:name w:val="Style7"/>
    <w:basedOn w:val="Normalny"/>
    <w:uiPriority w:val="99"/>
    <w:rsid w:val="001877CC"/>
    <w:pPr>
      <w:widowControl w:val="0"/>
      <w:autoSpaceDE w:val="0"/>
      <w:autoSpaceDN w:val="0"/>
      <w:adjustRightInd w:val="0"/>
      <w:spacing w:line="416" w:lineRule="exact"/>
      <w:ind w:firstLine="432"/>
      <w:jc w:val="both"/>
    </w:pPr>
    <w:rPr>
      <w:rFonts w:eastAsiaTheme="minorEastAsia"/>
    </w:rPr>
  </w:style>
  <w:style w:type="paragraph" w:customStyle="1" w:styleId="ARTartustawynprozporzdzenia">
    <w:name w:val="ART(§) – art. ustawy (§ np. rozporządzenia)"/>
    <w:uiPriority w:val="11"/>
    <w:qFormat/>
    <w:rsid w:val="001877CC"/>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1877CC"/>
    <w:pPr>
      <w:spacing w:after="0" w:line="360" w:lineRule="auto"/>
      <w:ind w:left="510" w:hanging="510"/>
      <w:jc w:val="both"/>
    </w:pPr>
    <w:rPr>
      <w:rFonts w:ascii="Times" w:eastAsiaTheme="minorEastAsia" w:hAnsi="Times" w:cs="Arial"/>
      <w:bCs/>
      <w:sz w:val="24"/>
      <w:szCs w:val="20"/>
      <w:lang w:eastAsia="pl-PL"/>
    </w:rPr>
  </w:style>
  <w:style w:type="paragraph" w:customStyle="1" w:styleId="Style15">
    <w:name w:val="Style15"/>
    <w:basedOn w:val="Normalny"/>
    <w:uiPriority w:val="99"/>
    <w:rsid w:val="001877CC"/>
    <w:pPr>
      <w:widowControl w:val="0"/>
      <w:autoSpaceDE w:val="0"/>
      <w:autoSpaceDN w:val="0"/>
      <w:adjustRightInd w:val="0"/>
      <w:spacing w:line="418" w:lineRule="exact"/>
      <w:jc w:val="both"/>
    </w:pPr>
    <w:rPr>
      <w:rFonts w:eastAsiaTheme="minorEastAsia"/>
    </w:rPr>
  </w:style>
  <w:style w:type="paragraph" w:customStyle="1" w:styleId="Style12">
    <w:name w:val="Style12"/>
    <w:basedOn w:val="Normalny"/>
    <w:uiPriority w:val="99"/>
    <w:rsid w:val="001877CC"/>
    <w:pPr>
      <w:widowControl w:val="0"/>
      <w:autoSpaceDE w:val="0"/>
      <w:autoSpaceDN w:val="0"/>
      <w:adjustRightInd w:val="0"/>
      <w:spacing w:line="413" w:lineRule="exact"/>
      <w:ind w:hanging="350"/>
      <w:jc w:val="both"/>
    </w:pPr>
    <w:rPr>
      <w:rFonts w:eastAsiaTheme="minorEastAsia"/>
    </w:rPr>
  </w:style>
  <w:style w:type="character" w:customStyle="1" w:styleId="Brak">
    <w:name w:val="Brak"/>
    <w:rsid w:val="001877CC"/>
  </w:style>
  <w:style w:type="paragraph" w:styleId="Nagwek">
    <w:name w:val="header"/>
    <w:basedOn w:val="Normalny"/>
    <w:link w:val="NagwekZnak"/>
    <w:uiPriority w:val="99"/>
    <w:unhideWhenUsed/>
    <w:rsid w:val="005A6621"/>
    <w:pPr>
      <w:tabs>
        <w:tab w:val="center" w:pos="4536"/>
        <w:tab w:val="right" w:pos="9072"/>
      </w:tabs>
    </w:pPr>
  </w:style>
  <w:style w:type="character" w:customStyle="1" w:styleId="NagwekZnak">
    <w:name w:val="Nagłówek Znak"/>
    <w:basedOn w:val="Domylnaczcionkaakapitu"/>
    <w:link w:val="Nagwek"/>
    <w:uiPriority w:val="99"/>
    <w:rsid w:val="005A662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A6621"/>
    <w:pPr>
      <w:tabs>
        <w:tab w:val="center" w:pos="4536"/>
        <w:tab w:val="right" w:pos="9072"/>
      </w:tabs>
    </w:pPr>
  </w:style>
  <w:style w:type="character" w:customStyle="1" w:styleId="StopkaZnak">
    <w:name w:val="Stopka Znak"/>
    <w:basedOn w:val="Domylnaczcionkaakapitu"/>
    <w:link w:val="Stopka"/>
    <w:uiPriority w:val="99"/>
    <w:rsid w:val="005A6621"/>
    <w:rPr>
      <w:rFonts w:ascii="Times New Roman" w:eastAsia="Times New Roman" w:hAnsi="Times New Roman" w:cs="Times New Roman"/>
      <w:sz w:val="24"/>
      <w:szCs w:val="24"/>
      <w:lang w:eastAsia="pl-PL"/>
    </w:rPr>
  </w:style>
  <w:style w:type="paragraph" w:customStyle="1" w:styleId="ZARTzmartartykuempunktem">
    <w:name w:val="Z/ART(§) – zm. art. (§) artykułem (punktem)"/>
    <w:basedOn w:val="ARTartustawynprozporzdzenia"/>
    <w:uiPriority w:val="30"/>
    <w:qFormat/>
    <w:rsid w:val="004E62AE"/>
    <w:pPr>
      <w:spacing w:before="0"/>
      <w:ind w:left="510"/>
    </w:p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A_wyliczenie,L1"/>
    <w:basedOn w:val="Normalny"/>
    <w:link w:val="AkapitzlistZnak"/>
    <w:uiPriority w:val="34"/>
    <w:qFormat/>
    <w:rsid w:val="00C64EC7"/>
    <w:pPr>
      <w:ind w:left="720"/>
      <w:contextualSpacing/>
    </w:pPr>
  </w:style>
  <w:style w:type="character" w:customStyle="1" w:styleId="IGindeksgrny">
    <w:name w:val="_IG_ – indeks górny"/>
    <w:basedOn w:val="Domylnaczcionkaakapitu"/>
    <w:uiPriority w:val="2"/>
    <w:qFormat/>
    <w:rsid w:val="00D837EC"/>
    <w:rPr>
      <w:b w:val="0"/>
      <w:bCs w:val="0"/>
      <w:i w:val="0"/>
      <w:iCs w:val="0"/>
      <w:spacing w:val="0"/>
      <w:vertAlign w:val="superscript"/>
    </w:rPr>
  </w:style>
  <w:style w:type="character" w:styleId="Hipercze">
    <w:name w:val="Hyperlink"/>
    <w:basedOn w:val="Domylnaczcionkaakapitu"/>
    <w:uiPriority w:val="99"/>
    <w:semiHidden/>
    <w:unhideWhenUsed/>
    <w:rsid w:val="00335DA6"/>
    <w:rPr>
      <w:color w:val="0000FF"/>
      <w:u w:val="single"/>
    </w:rPr>
  </w:style>
  <w:style w:type="character" w:customStyle="1" w:styleId="articletitle">
    <w:name w:val="articletitle"/>
    <w:basedOn w:val="Domylnaczcionkaakapitu"/>
    <w:rsid w:val="00E15552"/>
  </w:style>
  <w:style w:type="character" w:styleId="Odwoaniedokomentarza">
    <w:name w:val="annotation reference"/>
    <w:basedOn w:val="Domylnaczcionkaakapitu"/>
    <w:uiPriority w:val="99"/>
    <w:semiHidden/>
    <w:unhideWhenUsed/>
    <w:rsid w:val="00FE7A01"/>
    <w:rPr>
      <w:sz w:val="16"/>
      <w:szCs w:val="16"/>
    </w:rPr>
  </w:style>
  <w:style w:type="paragraph" w:styleId="Tekstkomentarza">
    <w:name w:val="annotation text"/>
    <w:basedOn w:val="Normalny"/>
    <w:link w:val="TekstkomentarzaZnak"/>
    <w:uiPriority w:val="99"/>
    <w:semiHidden/>
    <w:unhideWhenUsed/>
    <w:rsid w:val="00FE7A01"/>
    <w:rPr>
      <w:sz w:val="20"/>
      <w:szCs w:val="20"/>
    </w:rPr>
  </w:style>
  <w:style w:type="character" w:customStyle="1" w:styleId="TekstkomentarzaZnak">
    <w:name w:val="Tekst komentarza Znak"/>
    <w:basedOn w:val="Domylnaczcionkaakapitu"/>
    <w:link w:val="Tekstkomentarza"/>
    <w:uiPriority w:val="99"/>
    <w:semiHidden/>
    <w:rsid w:val="00FE7A0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E7A01"/>
    <w:rPr>
      <w:b/>
      <w:bCs/>
    </w:rPr>
  </w:style>
  <w:style w:type="character" w:customStyle="1" w:styleId="TematkomentarzaZnak">
    <w:name w:val="Temat komentarza Znak"/>
    <w:basedOn w:val="TekstkomentarzaZnak"/>
    <w:link w:val="Tematkomentarza"/>
    <w:uiPriority w:val="99"/>
    <w:semiHidden/>
    <w:rsid w:val="00FE7A01"/>
    <w:rPr>
      <w:rFonts w:ascii="Times New Roman" w:eastAsia="Times New Roman" w:hAnsi="Times New Roman" w:cs="Times New Roman"/>
      <w:b/>
      <w:bCs/>
      <w:sz w:val="20"/>
      <w:szCs w:val="20"/>
      <w:lang w:eastAsia="pl-PL"/>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qFormat/>
    <w:rsid w:val="007A2A25"/>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5059B8"/>
    <w:rPr>
      <w:sz w:val="20"/>
      <w:szCs w:val="20"/>
    </w:rPr>
  </w:style>
  <w:style w:type="character" w:customStyle="1" w:styleId="TekstprzypisukocowegoZnak">
    <w:name w:val="Tekst przypisu końcowego Znak"/>
    <w:basedOn w:val="Domylnaczcionkaakapitu"/>
    <w:link w:val="Tekstprzypisukocowego"/>
    <w:uiPriority w:val="99"/>
    <w:semiHidden/>
    <w:rsid w:val="005059B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059B8"/>
    <w:rPr>
      <w:vertAlign w:val="superscript"/>
    </w:rPr>
  </w:style>
  <w:style w:type="table" w:styleId="Tabela-Siatka">
    <w:name w:val="Table Grid"/>
    <w:basedOn w:val="Standardowy"/>
    <w:uiPriority w:val="39"/>
    <w:rsid w:val="00A31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TUprzedmiotregulacjiustawylubrozporzdzenia">
    <w:name w:val="TYTUŁ_AKTU – przedmiot regulacji ustawy lub rozporządzenia"/>
    <w:next w:val="Normalny"/>
    <w:uiPriority w:val="6"/>
    <w:qFormat/>
    <w:rsid w:val="005E5F62"/>
    <w:pPr>
      <w:keepNext/>
      <w:suppressAutoHyphens/>
      <w:spacing w:before="120" w:after="360" w:line="360" w:lineRule="auto"/>
      <w:jc w:val="center"/>
    </w:pPr>
    <w:rPr>
      <w:rFonts w:ascii="Times" w:eastAsiaTheme="minorEastAsia" w:hAnsi="Times" w:cs="Arial"/>
      <w:b/>
      <w:bCs/>
      <w:sz w:val="24"/>
      <w:szCs w:val="24"/>
      <w:lang w:eastAsia="pl-PL"/>
    </w:rPr>
  </w:style>
  <w:style w:type="paragraph" w:styleId="Tekstdymka">
    <w:name w:val="Balloon Text"/>
    <w:basedOn w:val="Normalny"/>
    <w:link w:val="TekstdymkaZnak"/>
    <w:uiPriority w:val="99"/>
    <w:semiHidden/>
    <w:unhideWhenUsed/>
    <w:rsid w:val="00BA042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42A"/>
    <w:rPr>
      <w:rFonts w:ascii="Segoe UI" w:eastAsia="Times New Roman" w:hAnsi="Segoe UI" w:cs="Segoe UI"/>
      <w:sz w:val="18"/>
      <w:szCs w:val="18"/>
      <w:lang w:eastAsia="pl-PL"/>
    </w:rPr>
  </w:style>
  <w:style w:type="paragraph" w:customStyle="1" w:styleId="Style5">
    <w:name w:val="Style5"/>
    <w:basedOn w:val="Normalny"/>
    <w:uiPriority w:val="99"/>
    <w:rsid w:val="00D509D4"/>
    <w:pPr>
      <w:widowControl w:val="0"/>
      <w:autoSpaceDE w:val="0"/>
      <w:autoSpaceDN w:val="0"/>
      <w:adjustRightInd w:val="0"/>
    </w:pPr>
    <w:rPr>
      <w:rFonts w:eastAsiaTheme="minorEastAsia"/>
    </w:rPr>
  </w:style>
  <w:style w:type="character" w:customStyle="1" w:styleId="FontStyle17">
    <w:name w:val="Font Style17"/>
    <w:basedOn w:val="Domylnaczcionkaakapitu"/>
    <w:uiPriority w:val="99"/>
    <w:rsid w:val="00D509D4"/>
    <w:rPr>
      <w:rFonts w:ascii="Times New Roman" w:hAnsi="Times New Roman" w:cs="Times New Roman" w:hint="default"/>
      <w:sz w:val="22"/>
      <w:szCs w:val="22"/>
    </w:rPr>
  </w:style>
  <w:style w:type="paragraph" w:styleId="Bezodstpw">
    <w:name w:val="No Spacing"/>
    <w:link w:val="BezodstpwZnak"/>
    <w:uiPriority w:val="1"/>
    <w:qFormat/>
    <w:rsid w:val="000D0600"/>
    <w:pPr>
      <w:spacing w:after="0" w:line="240" w:lineRule="auto"/>
    </w:pPr>
    <w:rPr>
      <w:rFonts w:eastAsiaTheme="minorEastAsia"/>
      <w:lang w:eastAsia="pl-PL"/>
    </w:rPr>
  </w:style>
  <w:style w:type="paragraph" w:customStyle="1" w:styleId="Pa1">
    <w:name w:val="Pa1"/>
    <w:basedOn w:val="Normalny"/>
    <w:next w:val="Normalny"/>
    <w:uiPriority w:val="99"/>
    <w:rsid w:val="00DF2163"/>
    <w:pPr>
      <w:autoSpaceDE w:val="0"/>
      <w:autoSpaceDN w:val="0"/>
      <w:adjustRightInd w:val="0"/>
      <w:spacing w:line="401" w:lineRule="atLeast"/>
    </w:pPr>
    <w:rPr>
      <w:rFonts w:ascii="Montserrat Medium" w:eastAsiaTheme="minorHAnsi" w:hAnsi="Montserrat Medium" w:cstheme="minorBidi"/>
      <w:lang w:eastAsia="en-US"/>
    </w:rPr>
  </w:style>
  <w:style w:type="paragraph" w:styleId="Tekstprzypisudolnego">
    <w:name w:val="footnote text"/>
    <w:basedOn w:val="Normalny"/>
    <w:link w:val="TekstprzypisudolnegoZnak"/>
    <w:uiPriority w:val="99"/>
    <w:semiHidden/>
    <w:unhideWhenUsed/>
    <w:rsid w:val="00DF2163"/>
    <w:rPr>
      <w:rFonts w:ascii="Calibri" w:eastAsia="Calibri" w:hAnsi="Calibri"/>
      <w:sz w:val="20"/>
      <w:szCs w:val="20"/>
    </w:rPr>
  </w:style>
  <w:style w:type="character" w:customStyle="1" w:styleId="TekstprzypisudolnegoZnak">
    <w:name w:val="Tekst przypisu dolnego Znak"/>
    <w:basedOn w:val="Domylnaczcionkaakapitu"/>
    <w:link w:val="Tekstprzypisudolnego"/>
    <w:uiPriority w:val="99"/>
    <w:semiHidden/>
    <w:rsid w:val="00DF2163"/>
    <w:rPr>
      <w:rFonts w:ascii="Calibri" w:eastAsia="Calibri" w:hAnsi="Calibri" w:cs="Times New Roman"/>
      <w:sz w:val="20"/>
      <w:szCs w:val="20"/>
      <w:lang w:eastAsia="pl-PL"/>
    </w:rPr>
  </w:style>
  <w:style w:type="character" w:styleId="Odwoanieprzypisudolnego">
    <w:name w:val="footnote reference"/>
    <w:basedOn w:val="Domylnaczcionkaakapitu"/>
    <w:uiPriority w:val="99"/>
    <w:semiHidden/>
    <w:unhideWhenUsed/>
    <w:rsid w:val="00DF2163"/>
    <w:rPr>
      <w:vertAlign w:val="superscript"/>
    </w:rPr>
  </w:style>
  <w:style w:type="character" w:customStyle="1" w:styleId="BezodstpwZnak">
    <w:name w:val="Bez odstępów Znak"/>
    <w:basedOn w:val="Domylnaczcionkaakapitu"/>
    <w:link w:val="Bezodstpw"/>
    <w:uiPriority w:val="1"/>
    <w:rsid w:val="007D7906"/>
    <w:rPr>
      <w:rFonts w:eastAsiaTheme="minorEastAsia"/>
      <w:lang w:eastAsia="pl-PL"/>
    </w:rPr>
  </w:style>
  <w:style w:type="character" w:customStyle="1" w:styleId="FontStyle14">
    <w:name w:val="Font Style14"/>
    <w:basedOn w:val="Domylnaczcionkaakapitu"/>
    <w:uiPriority w:val="99"/>
    <w:rsid w:val="000746D7"/>
    <w:rPr>
      <w:rFonts w:ascii="Segoe UI" w:hAnsi="Segoe UI" w:cs="Segoe UI"/>
      <w:sz w:val="24"/>
      <w:szCs w:val="24"/>
    </w:rPr>
  </w:style>
  <w:style w:type="character" w:customStyle="1" w:styleId="FontStyle13">
    <w:name w:val="Font Style13"/>
    <w:basedOn w:val="Domylnaczcionkaakapitu"/>
    <w:uiPriority w:val="99"/>
    <w:rsid w:val="007A222A"/>
    <w:rPr>
      <w:rFonts w:ascii="Segoe UI" w:hAnsi="Segoe UI" w:cs="Segoe UI"/>
      <w:b/>
      <w:bCs/>
      <w:sz w:val="24"/>
      <w:szCs w:val="24"/>
    </w:rPr>
  </w:style>
  <w:style w:type="paragraph" w:customStyle="1" w:styleId="USTustnpkodeksu">
    <w:name w:val="UST(§) – ust. (§ np. kodeksu)"/>
    <w:basedOn w:val="ARTartustawynprozporzdzenia"/>
    <w:uiPriority w:val="12"/>
    <w:qFormat/>
    <w:rsid w:val="008B5F27"/>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23452">
      <w:bodyDiv w:val="1"/>
      <w:marLeft w:val="0"/>
      <w:marRight w:val="0"/>
      <w:marTop w:val="0"/>
      <w:marBottom w:val="0"/>
      <w:divBdr>
        <w:top w:val="none" w:sz="0" w:space="0" w:color="auto"/>
        <w:left w:val="none" w:sz="0" w:space="0" w:color="auto"/>
        <w:bottom w:val="none" w:sz="0" w:space="0" w:color="auto"/>
        <w:right w:val="none" w:sz="0" w:space="0" w:color="auto"/>
      </w:divBdr>
    </w:div>
    <w:div w:id="110518758">
      <w:bodyDiv w:val="1"/>
      <w:marLeft w:val="0"/>
      <w:marRight w:val="0"/>
      <w:marTop w:val="0"/>
      <w:marBottom w:val="0"/>
      <w:divBdr>
        <w:top w:val="none" w:sz="0" w:space="0" w:color="auto"/>
        <w:left w:val="none" w:sz="0" w:space="0" w:color="auto"/>
        <w:bottom w:val="none" w:sz="0" w:space="0" w:color="auto"/>
        <w:right w:val="none" w:sz="0" w:space="0" w:color="auto"/>
      </w:divBdr>
    </w:div>
    <w:div w:id="129833851">
      <w:bodyDiv w:val="1"/>
      <w:marLeft w:val="0"/>
      <w:marRight w:val="0"/>
      <w:marTop w:val="0"/>
      <w:marBottom w:val="0"/>
      <w:divBdr>
        <w:top w:val="none" w:sz="0" w:space="0" w:color="auto"/>
        <w:left w:val="none" w:sz="0" w:space="0" w:color="auto"/>
        <w:bottom w:val="none" w:sz="0" w:space="0" w:color="auto"/>
        <w:right w:val="none" w:sz="0" w:space="0" w:color="auto"/>
      </w:divBdr>
    </w:div>
    <w:div w:id="176774538">
      <w:bodyDiv w:val="1"/>
      <w:marLeft w:val="0"/>
      <w:marRight w:val="0"/>
      <w:marTop w:val="0"/>
      <w:marBottom w:val="0"/>
      <w:divBdr>
        <w:top w:val="none" w:sz="0" w:space="0" w:color="auto"/>
        <w:left w:val="none" w:sz="0" w:space="0" w:color="auto"/>
        <w:bottom w:val="none" w:sz="0" w:space="0" w:color="auto"/>
        <w:right w:val="none" w:sz="0" w:space="0" w:color="auto"/>
      </w:divBdr>
    </w:div>
    <w:div w:id="295529602">
      <w:bodyDiv w:val="1"/>
      <w:marLeft w:val="0"/>
      <w:marRight w:val="0"/>
      <w:marTop w:val="0"/>
      <w:marBottom w:val="0"/>
      <w:divBdr>
        <w:top w:val="none" w:sz="0" w:space="0" w:color="auto"/>
        <w:left w:val="none" w:sz="0" w:space="0" w:color="auto"/>
        <w:bottom w:val="none" w:sz="0" w:space="0" w:color="auto"/>
        <w:right w:val="none" w:sz="0" w:space="0" w:color="auto"/>
      </w:divBdr>
    </w:div>
    <w:div w:id="361977834">
      <w:bodyDiv w:val="1"/>
      <w:marLeft w:val="0"/>
      <w:marRight w:val="0"/>
      <w:marTop w:val="0"/>
      <w:marBottom w:val="0"/>
      <w:divBdr>
        <w:top w:val="none" w:sz="0" w:space="0" w:color="auto"/>
        <w:left w:val="none" w:sz="0" w:space="0" w:color="auto"/>
        <w:bottom w:val="none" w:sz="0" w:space="0" w:color="auto"/>
        <w:right w:val="none" w:sz="0" w:space="0" w:color="auto"/>
      </w:divBdr>
      <w:divsChild>
        <w:div w:id="277298831">
          <w:marLeft w:val="0"/>
          <w:marRight w:val="0"/>
          <w:marTop w:val="0"/>
          <w:marBottom w:val="0"/>
          <w:divBdr>
            <w:top w:val="none" w:sz="0" w:space="0" w:color="auto"/>
            <w:left w:val="none" w:sz="0" w:space="0" w:color="auto"/>
            <w:bottom w:val="none" w:sz="0" w:space="0" w:color="auto"/>
            <w:right w:val="none" w:sz="0" w:space="0" w:color="auto"/>
          </w:divBdr>
          <w:divsChild>
            <w:div w:id="1847137462">
              <w:marLeft w:val="0"/>
              <w:marRight w:val="0"/>
              <w:marTop w:val="0"/>
              <w:marBottom w:val="0"/>
              <w:divBdr>
                <w:top w:val="none" w:sz="0" w:space="0" w:color="auto"/>
                <w:left w:val="none" w:sz="0" w:space="0" w:color="auto"/>
                <w:bottom w:val="none" w:sz="0" w:space="0" w:color="auto"/>
                <w:right w:val="none" w:sz="0" w:space="0" w:color="auto"/>
              </w:divBdr>
              <w:divsChild>
                <w:div w:id="1892811032">
                  <w:marLeft w:val="0"/>
                  <w:marRight w:val="0"/>
                  <w:marTop w:val="0"/>
                  <w:marBottom w:val="0"/>
                  <w:divBdr>
                    <w:top w:val="none" w:sz="0" w:space="0" w:color="auto"/>
                    <w:left w:val="none" w:sz="0" w:space="0" w:color="auto"/>
                    <w:bottom w:val="none" w:sz="0" w:space="0" w:color="auto"/>
                    <w:right w:val="none" w:sz="0" w:space="0" w:color="auto"/>
                  </w:divBdr>
                  <w:divsChild>
                    <w:div w:id="1164665422">
                      <w:marLeft w:val="0"/>
                      <w:marRight w:val="0"/>
                      <w:marTop w:val="0"/>
                      <w:marBottom w:val="0"/>
                      <w:divBdr>
                        <w:top w:val="none" w:sz="0" w:space="0" w:color="auto"/>
                        <w:left w:val="none" w:sz="0" w:space="0" w:color="auto"/>
                        <w:bottom w:val="none" w:sz="0" w:space="0" w:color="auto"/>
                        <w:right w:val="none" w:sz="0" w:space="0" w:color="auto"/>
                      </w:divBdr>
                      <w:divsChild>
                        <w:div w:id="394083831">
                          <w:marLeft w:val="0"/>
                          <w:marRight w:val="0"/>
                          <w:marTop w:val="0"/>
                          <w:marBottom w:val="0"/>
                          <w:divBdr>
                            <w:top w:val="none" w:sz="0" w:space="0" w:color="auto"/>
                            <w:left w:val="none" w:sz="0" w:space="0" w:color="auto"/>
                            <w:bottom w:val="none" w:sz="0" w:space="0" w:color="auto"/>
                            <w:right w:val="none" w:sz="0" w:space="0" w:color="auto"/>
                          </w:divBdr>
                          <w:divsChild>
                            <w:div w:id="1069885350">
                              <w:marLeft w:val="0"/>
                              <w:marRight w:val="0"/>
                              <w:marTop w:val="0"/>
                              <w:marBottom w:val="0"/>
                              <w:divBdr>
                                <w:top w:val="none" w:sz="0" w:space="0" w:color="auto"/>
                                <w:left w:val="none" w:sz="0" w:space="0" w:color="auto"/>
                                <w:bottom w:val="none" w:sz="0" w:space="0" w:color="auto"/>
                                <w:right w:val="none" w:sz="0" w:space="0" w:color="auto"/>
                              </w:divBdr>
                              <w:divsChild>
                                <w:div w:id="2043240833">
                                  <w:marLeft w:val="0"/>
                                  <w:marRight w:val="0"/>
                                  <w:marTop w:val="0"/>
                                  <w:marBottom w:val="0"/>
                                  <w:divBdr>
                                    <w:top w:val="none" w:sz="0" w:space="0" w:color="auto"/>
                                    <w:left w:val="none" w:sz="0" w:space="0" w:color="auto"/>
                                    <w:bottom w:val="none" w:sz="0" w:space="0" w:color="auto"/>
                                    <w:right w:val="none" w:sz="0" w:space="0" w:color="auto"/>
                                  </w:divBdr>
                                  <w:divsChild>
                                    <w:div w:id="573012637">
                                      <w:marLeft w:val="0"/>
                                      <w:marRight w:val="0"/>
                                      <w:marTop w:val="0"/>
                                      <w:marBottom w:val="0"/>
                                      <w:divBdr>
                                        <w:top w:val="none" w:sz="0" w:space="0" w:color="auto"/>
                                        <w:left w:val="none" w:sz="0" w:space="0" w:color="auto"/>
                                        <w:bottom w:val="none" w:sz="0" w:space="0" w:color="auto"/>
                                        <w:right w:val="none" w:sz="0" w:space="0" w:color="auto"/>
                                      </w:divBdr>
                                      <w:divsChild>
                                        <w:div w:id="262080116">
                                          <w:marLeft w:val="0"/>
                                          <w:marRight w:val="0"/>
                                          <w:marTop w:val="0"/>
                                          <w:marBottom w:val="0"/>
                                          <w:divBdr>
                                            <w:top w:val="none" w:sz="0" w:space="0" w:color="auto"/>
                                            <w:left w:val="none" w:sz="0" w:space="0" w:color="auto"/>
                                            <w:bottom w:val="none" w:sz="0" w:space="0" w:color="auto"/>
                                            <w:right w:val="none" w:sz="0" w:space="0" w:color="auto"/>
                                          </w:divBdr>
                                          <w:divsChild>
                                            <w:div w:id="2096658724">
                                              <w:marLeft w:val="0"/>
                                              <w:marRight w:val="0"/>
                                              <w:marTop w:val="0"/>
                                              <w:marBottom w:val="0"/>
                                              <w:divBdr>
                                                <w:top w:val="none" w:sz="0" w:space="0" w:color="auto"/>
                                                <w:left w:val="none" w:sz="0" w:space="0" w:color="auto"/>
                                                <w:bottom w:val="none" w:sz="0" w:space="0" w:color="auto"/>
                                                <w:right w:val="none" w:sz="0" w:space="0" w:color="auto"/>
                                              </w:divBdr>
                                              <w:divsChild>
                                                <w:div w:id="912543643">
                                                  <w:marLeft w:val="0"/>
                                                  <w:marRight w:val="0"/>
                                                  <w:marTop w:val="0"/>
                                                  <w:marBottom w:val="0"/>
                                                  <w:divBdr>
                                                    <w:top w:val="none" w:sz="0" w:space="0" w:color="auto"/>
                                                    <w:left w:val="none" w:sz="0" w:space="0" w:color="auto"/>
                                                    <w:bottom w:val="none" w:sz="0" w:space="0" w:color="auto"/>
                                                    <w:right w:val="none" w:sz="0" w:space="0" w:color="auto"/>
                                                  </w:divBdr>
                                                  <w:divsChild>
                                                    <w:div w:id="545921180">
                                                      <w:marLeft w:val="0"/>
                                                      <w:marRight w:val="0"/>
                                                      <w:marTop w:val="0"/>
                                                      <w:marBottom w:val="0"/>
                                                      <w:divBdr>
                                                        <w:top w:val="none" w:sz="0" w:space="0" w:color="auto"/>
                                                        <w:left w:val="none" w:sz="0" w:space="0" w:color="auto"/>
                                                        <w:bottom w:val="none" w:sz="0" w:space="0" w:color="auto"/>
                                                        <w:right w:val="none" w:sz="0" w:space="0" w:color="auto"/>
                                                      </w:divBdr>
                                                      <w:divsChild>
                                                        <w:div w:id="84682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8363654">
      <w:bodyDiv w:val="1"/>
      <w:marLeft w:val="0"/>
      <w:marRight w:val="0"/>
      <w:marTop w:val="0"/>
      <w:marBottom w:val="0"/>
      <w:divBdr>
        <w:top w:val="none" w:sz="0" w:space="0" w:color="auto"/>
        <w:left w:val="none" w:sz="0" w:space="0" w:color="auto"/>
        <w:bottom w:val="none" w:sz="0" w:space="0" w:color="auto"/>
        <w:right w:val="none" w:sz="0" w:space="0" w:color="auto"/>
      </w:divBdr>
    </w:div>
    <w:div w:id="393285486">
      <w:bodyDiv w:val="1"/>
      <w:marLeft w:val="0"/>
      <w:marRight w:val="0"/>
      <w:marTop w:val="0"/>
      <w:marBottom w:val="0"/>
      <w:divBdr>
        <w:top w:val="none" w:sz="0" w:space="0" w:color="auto"/>
        <w:left w:val="none" w:sz="0" w:space="0" w:color="auto"/>
        <w:bottom w:val="none" w:sz="0" w:space="0" w:color="auto"/>
        <w:right w:val="none" w:sz="0" w:space="0" w:color="auto"/>
      </w:divBdr>
    </w:div>
    <w:div w:id="415791043">
      <w:bodyDiv w:val="1"/>
      <w:marLeft w:val="0"/>
      <w:marRight w:val="0"/>
      <w:marTop w:val="0"/>
      <w:marBottom w:val="0"/>
      <w:divBdr>
        <w:top w:val="none" w:sz="0" w:space="0" w:color="auto"/>
        <w:left w:val="none" w:sz="0" w:space="0" w:color="auto"/>
        <w:bottom w:val="none" w:sz="0" w:space="0" w:color="auto"/>
        <w:right w:val="none" w:sz="0" w:space="0" w:color="auto"/>
      </w:divBdr>
    </w:div>
    <w:div w:id="778986428">
      <w:bodyDiv w:val="1"/>
      <w:marLeft w:val="0"/>
      <w:marRight w:val="0"/>
      <w:marTop w:val="0"/>
      <w:marBottom w:val="0"/>
      <w:divBdr>
        <w:top w:val="none" w:sz="0" w:space="0" w:color="auto"/>
        <w:left w:val="none" w:sz="0" w:space="0" w:color="auto"/>
        <w:bottom w:val="none" w:sz="0" w:space="0" w:color="auto"/>
        <w:right w:val="none" w:sz="0" w:space="0" w:color="auto"/>
      </w:divBdr>
    </w:div>
    <w:div w:id="1059212706">
      <w:bodyDiv w:val="1"/>
      <w:marLeft w:val="0"/>
      <w:marRight w:val="0"/>
      <w:marTop w:val="0"/>
      <w:marBottom w:val="0"/>
      <w:divBdr>
        <w:top w:val="none" w:sz="0" w:space="0" w:color="auto"/>
        <w:left w:val="none" w:sz="0" w:space="0" w:color="auto"/>
        <w:bottom w:val="none" w:sz="0" w:space="0" w:color="auto"/>
        <w:right w:val="none" w:sz="0" w:space="0" w:color="auto"/>
      </w:divBdr>
    </w:div>
    <w:div w:id="1246301311">
      <w:bodyDiv w:val="1"/>
      <w:marLeft w:val="0"/>
      <w:marRight w:val="0"/>
      <w:marTop w:val="0"/>
      <w:marBottom w:val="0"/>
      <w:divBdr>
        <w:top w:val="none" w:sz="0" w:space="0" w:color="auto"/>
        <w:left w:val="none" w:sz="0" w:space="0" w:color="auto"/>
        <w:bottom w:val="none" w:sz="0" w:space="0" w:color="auto"/>
        <w:right w:val="none" w:sz="0" w:space="0" w:color="auto"/>
      </w:divBdr>
    </w:div>
    <w:div w:id="1249458600">
      <w:bodyDiv w:val="1"/>
      <w:marLeft w:val="0"/>
      <w:marRight w:val="0"/>
      <w:marTop w:val="0"/>
      <w:marBottom w:val="0"/>
      <w:divBdr>
        <w:top w:val="none" w:sz="0" w:space="0" w:color="auto"/>
        <w:left w:val="none" w:sz="0" w:space="0" w:color="auto"/>
        <w:bottom w:val="none" w:sz="0" w:space="0" w:color="auto"/>
        <w:right w:val="none" w:sz="0" w:space="0" w:color="auto"/>
      </w:divBdr>
      <w:divsChild>
        <w:div w:id="1491211307">
          <w:marLeft w:val="0"/>
          <w:marRight w:val="0"/>
          <w:marTop w:val="0"/>
          <w:marBottom w:val="0"/>
          <w:divBdr>
            <w:top w:val="none" w:sz="0" w:space="0" w:color="auto"/>
            <w:left w:val="none" w:sz="0" w:space="0" w:color="auto"/>
            <w:bottom w:val="none" w:sz="0" w:space="0" w:color="auto"/>
            <w:right w:val="none" w:sz="0" w:space="0" w:color="auto"/>
          </w:divBdr>
          <w:divsChild>
            <w:div w:id="2006977182">
              <w:marLeft w:val="0"/>
              <w:marRight w:val="0"/>
              <w:marTop w:val="0"/>
              <w:marBottom w:val="0"/>
              <w:divBdr>
                <w:top w:val="none" w:sz="0" w:space="0" w:color="auto"/>
                <w:left w:val="none" w:sz="0" w:space="0" w:color="auto"/>
                <w:bottom w:val="none" w:sz="0" w:space="0" w:color="auto"/>
                <w:right w:val="none" w:sz="0" w:space="0" w:color="auto"/>
              </w:divBdr>
              <w:divsChild>
                <w:div w:id="668215946">
                  <w:marLeft w:val="0"/>
                  <w:marRight w:val="0"/>
                  <w:marTop w:val="0"/>
                  <w:marBottom w:val="0"/>
                  <w:divBdr>
                    <w:top w:val="none" w:sz="0" w:space="0" w:color="auto"/>
                    <w:left w:val="none" w:sz="0" w:space="0" w:color="auto"/>
                    <w:bottom w:val="none" w:sz="0" w:space="0" w:color="auto"/>
                    <w:right w:val="none" w:sz="0" w:space="0" w:color="auto"/>
                  </w:divBdr>
                  <w:divsChild>
                    <w:div w:id="886843292">
                      <w:marLeft w:val="0"/>
                      <w:marRight w:val="0"/>
                      <w:marTop w:val="0"/>
                      <w:marBottom w:val="0"/>
                      <w:divBdr>
                        <w:top w:val="none" w:sz="0" w:space="0" w:color="auto"/>
                        <w:left w:val="none" w:sz="0" w:space="0" w:color="auto"/>
                        <w:bottom w:val="none" w:sz="0" w:space="0" w:color="auto"/>
                        <w:right w:val="none" w:sz="0" w:space="0" w:color="auto"/>
                      </w:divBdr>
                      <w:divsChild>
                        <w:div w:id="768038799">
                          <w:marLeft w:val="0"/>
                          <w:marRight w:val="0"/>
                          <w:marTop w:val="0"/>
                          <w:marBottom w:val="0"/>
                          <w:divBdr>
                            <w:top w:val="none" w:sz="0" w:space="0" w:color="auto"/>
                            <w:left w:val="none" w:sz="0" w:space="0" w:color="auto"/>
                            <w:bottom w:val="none" w:sz="0" w:space="0" w:color="auto"/>
                            <w:right w:val="none" w:sz="0" w:space="0" w:color="auto"/>
                          </w:divBdr>
                          <w:divsChild>
                            <w:div w:id="474031638">
                              <w:marLeft w:val="0"/>
                              <w:marRight w:val="0"/>
                              <w:marTop w:val="0"/>
                              <w:marBottom w:val="0"/>
                              <w:divBdr>
                                <w:top w:val="none" w:sz="0" w:space="0" w:color="auto"/>
                                <w:left w:val="none" w:sz="0" w:space="0" w:color="auto"/>
                                <w:bottom w:val="none" w:sz="0" w:space="0" w:color="auto"/>
                                <w:right w:val="none" w:sz="0" w:space="0" w:color="auto"/>
                              </w:divBdr>
                              <w:divsChild>
                                <w:div w:id="544874943">
                                  <w:marLeft w:val="0"/>
                                  <w:marRight w:val="0"/>
                                  <w:marTop w:val="0"/>
                                  <w:marBottom w:val="0"/>
                                  <w:divBdr>
                                    <w:top w:val="none" w:sz="0" w:space="0" w:color="auto"/>
                                    <w:left w:val="none" w:sz="0" w:space="0" w:color="auto"/>
                                    <w:bottom w:val="none" w:sz="0" w:space="0" w:color="auto"/>
                                    <w:right w:val="none" w:sz="0" w:space="0" w:color="auto"/>
                                  </w:divBdr>
                                  <w:divsChild>
                                    <w:div w:id="1956862793">
                                      <w:marLeft w:val="0"/>
                                      <w:marRight w:val="0"/>
                                      <w:marTop w:val="0"/>
                                      <w:marBottom w:val="0"/>
                                      <w:divBdr>
                                        <w:top w:val="none" w:sz="0" w:space="0" w:color="auto"/>
                                        <w:left w:val="none" w:sz="0" w:space="0" w:color="auto"/>
                                        <w:bottom w:val="none" w:sz="0" w:space="0" w:color="auto"/>
                                        <w:right w:val="none" w:sz="0" w:space="0" w:color="auto"/>
                                      </w:divBdr>
                                      <w:divsChild>
                                        <w:div w:id="215630422">
                                          <w:marLeft w:val="0"/>
                                          <w:marRight w:val="0"/>
                                          <w:marTop w:val="0"/>
                                          <w:marBottom w:val="0"/>
                                          <w:divBdr>
                                            <w:top w:val="none" w:sz="0" w:space="0" w:color="auto"/>
                                            <w:left w:val="none" w:sz="0" w:space="0" w:color="auto"/>
                                            <w:bottom w:val="none" w:sz="0" w:space="0" w:color="auto"/>
                                            <w:right w:val="none" w:sz="0" w:space="0" w:color="auto"/>
                                          </w:divBdr>
                                        </w:div>
                                        <w:div w:id="1346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8751799">
      <w:bodyDiv w:val="1"/>
      <w:marLeft w:val="0"/>
      <w:marRight w:val="0"/>
      <w:marTop w:val="0"/>
      <w:marBottom w:val="0"/>
      <w:divBdr>
        <w:top w:val="none" w:sz="0" w:space="0" w:color="auto"/>
        <w:left w:val="none" w:sz="0" w:space="0" w:color="auto"/>
        <w:bottom w:val="none" w:sz="0" w:space="0" w:color="auto"/>
        <w:right w:val="none" w:sz="0" w:space="0" w:color="auto"/>
      </w:divBdr>
    </w:div>
    <w:div w:id="1314677842">
      <w:bodyDiv w:val="1"/>
      <w:marLeft w:val="0"/>
      <w:marRight w:val="0"/>
      <w:marTop w:val="0"/>
      <w:marBottom w:val="0"/>
      <w:divBdr>
        <w:top w:val="none" w:sz="0" w:space="0" w:color="auto"/>
        <w:left w:val="none" w:sz="0" w:space="0" w:color="auto"/>
        <w:bottom w:val="none" w:sz="0" w:space="0" w:color="auto"/>
        <w:right w:val="none" w:sz="0" w:space="0" w:color="auto"/>
      </w:divBdr>
    </w:div>
    <w:div w:id="1353992604">
      <w:bodyDiv w:val="1"/>
      <w:marLeft w:val="0"/>
      <w:marRight w:val="0"/>
      <w:marTop w:val="0"/>
      <w:marBottom w:val="0"/>
      <w:divBdr>
        <w:top w:val="none" w:sz="0" w:space="0" w:color="auto"/>
        <w:left w:val="none" w:sz="0" w:space="0" w:color="auto"/>
        <w:bottom w:val="none" w:sz="0" w:space="0" w:color="auto"/>
        <w:right w:val="none" w:sz="0" w:space="0" w:color="auto"/>
      </w:divBdr>
    </w:div>
    <w:div w:id="1404140701">
      <w:bodyDiv w:val="1"/>
      <w:marLeft w:val="0"/>
      <w:marRight w:val="0"/>
      <w:marTop w:val="0"/>
      <w:marBottom w:val="0"/>
      <w:divBdr>
        <w:top w:val="none" w:sz="0" w:space="0" w:color="auto"/>
        <w:left w:val="none" w:sz="0" w:space="0" w:color="auto"/>
        <w:bottom w:val="none" w:sz="0" w:space="0" w:color="auto"/>
        <w:right w:val="none" w:sz="0" w:space="0" w:color="auto"/>
      </w:divBdr>
    </w:div>
    <w:div w:id="1428845653">
      <w:bodyDiv w:val="1"/>
      <w:marLeft w:val="0"/>
      <w:marRight w:val="0"/>
      <w:marTop w:val="0"/>
      <w:marBottom w:val="0"/>
      <w:divBdr>
        <w:top w:val="none" w:sz="0" w:space="0" w:color="auto"/>
        <w:left w:val="none" w:sz="0" w:space="0" w:color="auto"/>
        <w:bottom w:val="none" w:sz="0" w:space="0" w:color="auto"/>
        <w:right w:val="none" w:sz="0" w:space="0" w:color="auto"/>
      </w:divBdr>
    </w:div>
    <w:div w:id="1485856634">
      <w:bodyDiv w:val="1"/>
      <w:marLeft w:val="0"/>
      <w:marRight w:val="0"/>
      <w:marTop w:val="0"/>
      <w:marBottom w:val="0"/>
      <w:divBdr>
        <w:top w:val="none" w:sz="0" w:space="0" w:color="auto"/>
        <w:left w:val="none" w:sz="0" w:space="0" w:color="auto"/>
        <w:bottom w:val="none" w:sz="0" w:space="0" w:color="auto"/>
        <w:right w:val="none" w:sz="0" w:space="0" w:color="auto"/>
      </w:divBdr>
    </w:div>
    <w:div w:id="1543981329">
      <w:bodyDiv w:val="1"/>
      <w:marLeft w:val="0"/>
      <w:marRight w:val="0"/>
      <w:marTop w:val="0"/>
      <w:marBottom w:val="0"/>
      <w:divBdr>
        <w:top w:val="none" w:sz="0" w:space="0" w:color="auto"/>
        <w:left w:val="none" w:sz="0" w:space="0" w:color="auto"/>
        <w:bottom w:val="none" w:sz="0" w:space="0" w:color="auto"/>
        <w:right w:val="none" w:sz="0" w:space="0" w:color="auto"/>
      </w:divBdr>
    </w:div>
    <w:div w:id="1645281394">
      <w:bodyDiv w:val="1"/>
      <w:marLeft w:val="0"/>
      <w:marRight w:val="0"/>
      <w:marTop w:val="0"/>
      <w:marBottom w:val="0"/>
      <w:divBdr>
        <w:top w:val="none" w:sz="0" w:space="0" w:color="auto"/>
        <w:left w:val="none" w:sz="0" w:space="0" w:color="auto"/>
        <w:bottom w:val="none" w:sz="0" w:space="0" w:color="auto"/>
        <w:right w:val="none" w:sz="0" w:space="0" w:color="auto"/>
      </w:divBdr>
    </w:div>
    <w:div w:id="1651443679">
      <w:bodyDiv w:val="1"/>
      <w:marLeft w:val="0"/>
      <w:marRight w:val="0"/>
      <w:marTop w:val="0"/>
      <w:marBottom w:val="0"/>
      <w:divBdr>
        <w:top w:val="none" w:sz="0" w:space="0" w:color="auto"/>
        <w:left w:val="none" w:sz="0" w:space="0" w:color="auto"/>
        <w:bottom w:val="none" w:sz="0" w:space="0" w:color="auto"/>
        <w:right w:val="none" w:sz="0" w:space="0" w:color="auto"/>
      </w:divBdr>
    </w:div>
    <w:div w:id="1672873883">
      <w:bodyDiv w:val="1"/>
      <w:marLeft w:val="0"/>
      <w:marRight w:val="0"/>
      <w:marTop w:val="0"/>
      <w:marBottom w:val="0"/>
      <w:divBdr>
        <w:top w:val="none" w:sz="0" w:space="0" w:color="auto"/>
        <w:left w:val="none" w:sz="0" w:space="0" w:color="auto"/>
        <w:bottom w:val="none" w:sz="0" w:space="0" w:color="auto"/>
        <w:right w:val="none" w:sz="0" w:space="0" w:color="auto"/>
      </w:divBdr>
    </w:div>
    <w:div w:id="1898931042">
      <w:bodyDiv w:val="1"/>
      <w:marLeft w:val="0"/>
      <w:marRight w:val="0"/>
      <w:marTop w:val="0"/>
      <w:marBottom w:val="0"/>
      <w:divBdr>
        <w:top w:val="none" w:sz="0" w:space="0" w:color="auto"/>
        <w:left w:val="none" w:sz="0" w:space="0" w:color="auto"/>
        <w:bottom w:val="none" w:sz="0" w:space="0" w:color="auto"/>
        <w:right w:val="none" w:sz="0" w:space="0" w:color="auto"/>
      </w:divBdr>
    </w:div>
    <w:div w:id="1952275300">
      <w:bodyDiv w:val="1"/>
      <w:marLeft w:val="0"/>
      <w:marRight w:val="0"/>
      <w:marTop w:val="0"/>
      <w:marBottom w:val="0"/>
      <w:divBdr>
        <w:top w:val="none" w:sz="0" w:space="0" w:color="auto"/>
        <w:left w:val="none" w:sz="0" w:space="0" w:color="auto"/>
        <w:bottom w:val="none" w:sz="0" w:space="0" w:color="auto"/>
        <w:right w:val="none" w:sz="0" w:space="0" w:color="auto"/>
      </w:divBdr>
    </w:div>
    <w:div w:id="1969192445">
      <w:bodyDiv w:val="1"/>
      <w:marLeft w:val="0"/>
      <w:marRight w:val="0"/>
      <w:marTop w:val="0"/>
      <w:marBottom w:val="0"/>
      <w:divBdr>
        <w:top w:val="none" w:sz="0" w:space="0" w:color="auto"/>
        <w:left w:val="none" w:sz="0" w:space="0" w:color="auto"/>
        <w:bottom w:val="none" w:sz="0" w:space="0" w:color="auto"/>
        <w:right w:val="none" w:sz="0" w:space="0" w:color="auto"/>
      </w:divBdr>
    </w:div>
    <w:div w:id="1971278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4F3FB-1A2B-4842-8D8C-2183FFE1C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1925</Words>
  <Characters>11551</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Matysek Agnieszka  (DSRiN)</dc:creator>
  <cp:keywords/>
  <dc:description/>
  <cp:lastModifiedBy>Agnieszka Bargiel (DL)</cp:lastModifiedBy>
  <cp:revision>18</cp:revision>
  <cp:lastPrinted>2023-04-25T12:14:00Z</cp:lastPrinted>
  <dcterms:created xsi:type="dcterms:W3CDTF">2025-08-05T09:20:00Z</dcterms:created>
  <dcterms:modified xsi:type="dcterms:W3CDTF">2025-08-05T09:47:00Z</dcterms:modified>
</cp:coreProperties>
</file>